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3F" w:rsidRPr="008F30B2" w:rsidRDefault="00BF6E3F" w:rsidP="006D0922">
      <w:pPr>
        <w:pStyle w:val="naislab"/>
        <w:spacing w:before="0" w:after="0"/>
        <w:jc w:val="center"/>
        <w:rPr>
          <w:b/>
        </w:rPr>
      </w:pPr>
      <w:bookmarkStart w:id="0" w:name="_GoBack"/>
      <w:bookmarkEnd w:id="0"/>
      <w:r w:rsidRPr="008F30B2">
        <w:rPr>
          <w:b/>
        </w:rPr>
        <w:t xml:space="preserve">Likumprojekta </w:t>
      </w:r>
      <w:r w:rsidR="005C4865" w:rsidRPr="008F30B2">
        <w:rPr>
          <w:b/>
        </w:rPr>
        <w:t>“Grozījumi likumā “Par izložu un azartspēļu nodevu un nodokli””</w:t>
      </w:r>
      <w:r w:rsidR="005C4865" w:rsidRPr="008F30B2">
        <w:t xml:space="preserve"> </w:t>
      </w:r>
    </w:p>
    <w:p w:rsidR="009F30B3" w:rsidRPr="008F30B2" w:rsidRDefault="00BF6E3F" w:rsidP="006D0922">
      <w:pPr>
        <w:pStyle w:val="naislab"/>
        <w:spacing w:before="0" w:after="0"/>
        <w:jc w:val="center"/>
        <w:rPr>
          <w:b/>
        </w:rPr>
      </w:pPr>
      <w:r w:rsidRPr="008F30B2">
        <w:rPr>
          <w:b/>
        </w:rPr>
        <w:t>sākotnējās ietekmes novērtējuma ziņojums (anotācija)</w:t>
      </w:r>
    </w:p>
    <w:p w:rsidR="002E33E1" w:rsidRPr="008F30B2" w:rsidRDefault="002E33E1" w:rsidP="006D0922">
      <w:pPr>
        <w:pStyle w:val="naislab"/>
        <w:spacing w:before="0" w:after="0"/>
        <w:jc w:val="center"/>
        <w:rPr>
          <w:b/>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4"/>
        <w:gridCol w:w="3024"/>
        <w:gridCol w:w="5771"/>
      </w:tblGrid>
      <w:tr w:rsidR="008F2155" w:rsidRPr="008F30B2" w:rsidTr="00AD6568">
        <w:tc>
          <w:tcPr>
            <w:tcW w:w="9209" w:type="dxa"/>
            <w:gridSpan w:val="3"/>
            <w:tcBorders>
              <w:bottom w:val="single" w:sz="4" w:space="0" w:color="auto"/>
            </w:tcBorders>
            <w:vAlign w:val="center"/>
          </w:tcPr>
          <w:p w:rsidR="00852042" w:rsidRPr="008F30B2" w:rsidRDefault="00852042" w:rsidP="00931BCC">
            <w:pPr>
              <w:pStyle w:val="naisnod"/>
              <w:spacing w:before="0" w:after="60"/>
            </w:pPr>
            <w:r w:rsidRPr="008F30B2">
              <w:t>I</w:t>
            </w:r>
            <w:r w:rsidR="000941C5" w:rsidRPr="008F30B2">
              <w:t>.</w:t>
            </w:r>
            <w:r w:rsidRPr="008F30B2">
              <w:t xml:space="preserve"> Tiesību akta </w:t>
            </w:r>
            <w:r w:rsidR="002E3FF4" w:rsidRPr="008F30B2">
              <w:t xml:space="preserve">projekta </w:t>
            </w:r>
            <w:r w:rsidRPr="008F30B2">
              <w:t>izstrādes nepieciešamība</w:t>
            </w:r>
          </w:p>
        </w:tc>
      </w:tr>
      <w:tr w:rsidR="008F2155" w:rsidRPr="008F30B2" w:rsidTr="00AD6568">
        <w:trPr>
          <w:trHeight w:val="791"/>
        </w:trPr>
        <w:tc>
          <w:tcPr>
            <w:tcW w:w="414" w:type="dxa"/>
            <w:tcBorders>
              <w:top w:val="single" w:sz="4" w:space="0" w:color="auto"/>
              <w:left w:val="single" w:sz="4" w:space="0" w:color="auto"/>
              <w:bottom w:val="single" w:sz="4" w:space="0" w:color="auto"/>
              <w:right w:val="single" w:sz="4" w:space="0" w:color="auto"/>
            </w:tcBorders>
          </w:tcPr>
          <w:p w:rsidR="00262E2B" w:rsidRPr="008F30B2" w:rsidRDefault="00262E2B" w:rsidP="00931BCC">
            <w:pPr>
              <w:pStyle w:val="naiskr"/>
              <w:spacing w:before="0" w:after="0"/>
              <w:jc w:val="center"/>
            </w:pPr>
            <w:r w:rsidRPr="008F30B2">
              <w:t>1.</w:t>
            </w:r>
          </w:p>
        </w:tc>
        <w:tc>
          <w:tcPr>
            <w:tcW w:w="3024" w:type="dxa"/>
            <w:tcBorders>
              <w:top w:val="single" w:sz="4" w:space="0" w:color="auto"/>
              <w:left w:val="single" w:sz="4" w:space="0" w:color="auto"/>
              <w:bottom w:val="single" w:sz="4" w:space="0" w:color="auto"/>
              <w:right w:val="single" w:sz="4" w:space="0" w:color="auto"/>
            </w:tcBorders>
          </w:tcPr>
          <w:p w:rsidR="009A60A2" w:rsidRPr="008F30B2" w:rsidRDefault="002D7F54" w:rsidP="00931BCC">
            <w:pPr>
              <w:pStyle w:val="naiskr"/>
              <w:spacing w:before="0" w:after="0"/>
            </w:pPr>
            <w:r w:rsidRPr="008F30B2">
              <w:t>Pamatojums</w:t>
            </w:r>
          </w:p>
          <w:p w:rsidR="009A60A2" w:rsidRPr="008F30B2" w:rsidRDefault="009A60A2" w:rsidP="00931BCC"/>
          <w:p w:rsidR="00262E2B" w:rsidRPr="008F30B2" w:rsidRDefault="00262E2B" w:rsidP="00931BCC">
            <w:pPr>
              <w:ind w:firstLine="720"/>
            </w:pPr>
          </w:p>
        </w:tc>
        <w:tc>
          <w:tcPr>
            <w:tcW w:w="5771" w:type="dxa"/>
            <w:tcBorders>
              <w:top w:val="single" w:sz="4" w:space="0" w:color="auto"/>
              <w:left w:val="single" w:sz="4" w:space="0" w:color="auto"/>
              <w:bottom w:val="single" w:sz="4" w:space="0" w:color="auto"/>
              <w:right w:val="single" w:sz="4" w:space="0" w:color="auto"/>
            </w:tcBorders>
          </w:tcPr>
          <w:p w:rsidR="00931BCC" w:rsidRPr="008F30B2" w:rsidRDefault="005C4865" w:rsidP="00931BCC">
            <w:pPr>
              <w:jc w:val="both"/>
            </w:pPr>
            <w:r w:rsidRPr="008F30B2">
              <w:rPr>
                <w:lang w:eastAsia="en-US"/>
              </w:rPr>
              <w:t xml:space="preserve">Ministru kabineta </w:t>
            </w:r>
            <w:r w:rsidR="0069163D" w:rsidRPr="008F30B2">
              <w:rPr>
                <w:lang w:eastAsia="en-US"/>
              </w:rPr>
              <w:t xml:space="preserve">2015.gada </w:t>
            </w:r>
            <w:r w:rsidRPr="008F30B2">
              <w:rPr>
                <w:lang w:eastAsia="en-US"/>
              </w:rPr>
              <w:t>25.</w:t>
            </w:r>
            <w:r w:rsidR="0069163D" w:rsidRPr="008F30B2">
              <w:rPr>
                <w:lang w:eastAsia="en-US"/>
              </w:rPr>
              <w:t xml:space="preserve">augusta </w:t>
            </w:r>
            <w:r w:rsidRPr="008F30B2">
              <w:rPr>
                <w:lang w:eastAsia="en-US"/>
              </w:rPr>
              <w:t xml:space="preserve">sēdes </w:t>
            </w:r>
            <w:r w:rsidRPr="008F30B2">
              <w:t xml:space="preserve">protokola Nr.41 43.§ </w:t>
            </w:r>
            <w:r w:rsidR="0069163D" w:rsidRPr="008F30B2">
              <w:t>“</w:t>
            </w:r>
            <w:r w:rsidRPr="008F30B2">
              <w:t>Par informatīvo ziņojumu “Par iespējām palielināt ieņēmumus”</w:t>
            </w:r>
            <w:r w:rsidR="0069163D" w:rsidRPr="008F30B2">
              <w:t>”</w:t>
            </w:r>
            <w:r w:rsidRPr="008F30B2">
              <w:t xml:space="preserve"> </w:t>
            </w:r>
            <w:r w:rsidR="008812E7" w:rsidRPr="008F30B2">
              <w:t>10</w:t>
            </w:r>
            <w:r w:rsidRPr="008F30B2">
              <w:t>.punkts.</w:t>
            </w:r>
          </w:p>
        </w:tc>
      </w:tr>
      <w:tr w:rsidR="008F2155" w:rsidRPr="008F30B2" w:rsidTr="00AD6568">
        <w:trPr>
          <w:trHeight w:val="472"/>
        </w:trPr>
        <w:tc>
          <w:tcPr>
            <w:tcW w:w="414" w:type="dxa"/>
            <w:tcBorders>
              <w:top w:val="single" w:sz="4" w:space="0" w:color="auto"/>
            </w:tcBorders>
          </w:tcPr>
          <w:p w:rsidR="00E531A7" w:rsidRPr="008F30B2" w:rsidRDefault="00262E2B" w:rsidP="00931BCC">
            <w:pPr>
              <w:pStyle w:val="naiskr"/>
              <w:spacing w:before="0" w:after="0"/>
              <w:jc w:val="center"/>
            </w:pPr>
            <w:r w:rsidRPr="008F30B2">
              <w:t>2.</w:t>
            </w:r>
          </w:p>
          <w:p w:rsidR="00E531A7" w:rsidRPr="008F30B2" w:rsidRDefault="00E531A7" w:rsidP="00931BCC"/>
          <w:p w:rsidR="00E531A7" w:rsidRPr="008F30B2" w:rsidRDefault="00E531A7" w:rsidP="00931BCC"/>
          <w:p w:rsidR="00E531A7" w:rsidRPr="008F30B2" w:rsidRDefault="00E531A7" w:rsidP="00931BCC"/>
          <w:p w:rsidR="00E531A7" w:rsidRPr="008F30B2" w:rsidRDefault="00E531A7" w:rsidP="00931BCC"/>
          <w:p w:rsidR="00E531A7" w:rsidRPr="008F30B2" w:rsidRDefault="00E531A7" w:rsidP="00931BCC"/>
          <w:p w:rsidR="00E531A7" w:rsidRPr="008F30B2" w:rsidRDefault="00E531A7" w:rsidP="00931BCC"/>
          <w:p w:rsidR="00E531A7" w:rsidRPr="008F30B2" w:rsidRDefault="00E531A7" w:rsidP="00931BCC"/>
          <w:p w:rsidR="00E531A7" w:rsidRPr="008F30B2" w:rsidRDefault="00E531A7" w:rsidP="00931BCC"/>
          <w:p w:rsidR="00262E2B" w:rsidRPr="008F30B2" w:rsidRDefault="00262E2B" w:rsidP="00931BCC"/>
        </w:tc>
        <w:tc>
          <w:tcPr>
            <w:tcW w:w="3024" w:type="dxa"/>
            <w:tcBorders>
              <w:top w:val="single" w:sz="4" w:space="0" w:color="auto"/>
            </w:tcBorders>
          </w:tcPr>
          <w:p w:rsidR="00A778CE" w:rsidRPr="008F30B2" w:rsidRDefault="003A3C61" w:rsidP="00931BCC">
            <w:pPr>
              <w:pStyle w:val="naiskr"/>
              <w:spacing w:before="0" w:after="0"/>
            </w:pPr>
            <w:r w:rsidRPr="008F30B2">
              <w:t>Pašreizējā situācija un problēmas, kuru risināšanai tiesību akta projekts izstrādāts, tiesiskā regulējuma mērķis un būtība</w:t>
            </w:r>
          </w:p>
          <w:p w:rsidR="00A778CE" w:rsidRPr="008F30B2" w:rsidRDefault="0088169B" w:rsidP="00931BCC">
            <w:pPr>
              <w:tabs>
                <w:tab w:val="left" w:pos="924"/>
              </w:tabs>
            </w:pPr>
            <w:r w:rsidRPr="008F30B2">
              <w:tab/>
            </w:r>
          </w:p>
          <w:p w:rsidR="00A778CE" w:rsidRPr="008F30B2" w:rsidRDefault="00A778CE" w:rsidP="00931BCC"/>
          <w:p w:rsidR="00A778CE" w:rsidRPr="008F30B2" w:rsidRDefault="00A778CE" w:rsidP="00931BCC"/>
          <w:p w:rsidR="00A778CE" w:rsidRPr="008F30B2" w:rsidRDefault="00A778CE" w:rsidP="00931BCC">
            <w:pPr>
              <w:ind w:firstLine="720"/>
            </w:pPr>
          </w:p>
          <w:p w:rsidR="00A778CE" w:rsidRPr="008F30B2" w:rsidRDefault="00A778CE" w:rsidP="00931BCC"/>
          <w:p w:rsidR="00A778CE" w:rsidRPr="008F30B2" w:rsidRDefault="00A778CE" w:rsidP="00931BCC">
            <w:pPr>
              <w:ind w:firstLine="720"/>
            </w:pPr>
          </w:p>
          <w:p w:rsidR="00A778CE" w:rsidRPr="008F30B2" w:rsidRDefault="00A778CE" w:rsidP="00931BCC"/>
          <w:p w:rsidR="00262E2B" w:rsidRPr="008F30B2" w:rsidRDefault="00262E2B" w:rsidP="00931BCC"/>
        </w:tc>
        <w:tc>
          <w:tcPr>
            <w:tcW w:w="5771" w:type="dxa"/>
            <w:tcBorders>
              <w:top w:val="single" w:sz="4" w:space="0" w:color="auto"/>
            </w:tcBorders>
          </w:tcPr>
          <w:p w:rsidR="000430C0" w:rsidRPr="008F30B2" w:rsidRDefault="000430C0" w:rsidP="00931BCC">
            <w:pPr>
              <w:pStyle w:val="ListParagraph"/>
              <w:ind w:left="0"/>
              <w:jc w:val="both"/>
              <w:rPr>
                <w:i/>
              </w:rPr>
            </w:pPr>
            <w:r w:rsidRPr="008F30B2">
              <w:rPr>
                <w:iCs/>
                <w:color w:val="000000"/>
              </w:rPr>
              <w:t>Azartspēļu spēlēšana palielina risku attīstīties atkarībai, kas apdraud indivīda garīgo un fizisko veselību. Tiek lēsts, ka problemātisko spēlētāju īpatsvars Eiropas valstīs ir vidēji 0,4% - 4,7%</w:t>
            </w:r>
            <w:r w:rsidRPr="008F30B2">
              <w:rPr>
                <w:iCs/>
                <w:color w:val="000000"/>
                <w:vertAlign w:val="superscript"/>
              </w:rPr>
              <w:footnoteReference w:id="1"/>
            </w:r>
            <w:r w:rsidRPr="008F30B2">
              <w:rPr>
                <w:iCs/>
                <w:color w:val="000000"/>
              </w:rPr>
              <w:t>. Azartspēļu spēlētājiem ir palielināts risks nonākt finansiālās grūtībās, viņiem var pasliktināties attiecības ar tuviniekiem, attīstīties psihosociālās problēmas un palielināties atkarību izraisošu vielu lietošanas risks. Problemātiska azartspēļu spēlēšana saistās ar palielinātu pašnāvību un noziedzīgu nodarījumu risku. Daudzi patoloģiskie azartspēļu spēlētāji veic noziedzīgas darbības, lai finansētu savu paradumu un atmaksātu radušos parādus, bet 23% patoloģiskie un 13% problemātiskie spēlētāji kaut reizi dzīvē bijuši apcietinājumā</w:t>
            </w:r>
            <w:r w:rsidRPr="008F30B2">
              <w:rPr>
                <w:iCs/>
                <w:color w:val="000000"/>
                <w:vertAlign w:val="superscript"/>
              </w:rPr>
              <w:footnoteReference w:id="2"/>
            </w:r>
            <w:r w:rsidRPr="008F30B2">
              <w:rPr>
                <w:iCs/>
                <w:color w:val="000000"/>
              </w:rPr>
              <w:t>.</w:t>
            </w:r>
          </w:p>
          <w:p w:rsidR="000430C0" w:rsidRPr="008F30B2" w:rsidRDefault="000430C0" w:rsidP="002F4FF3">
            <w:pPr>
              <w:pStyle w:val="Header"/>
              <w:jc w:val="both"/>
            </w:pPr>
            <w:r w:rsidRPr="008F30B2">
              <w:t xml:space="preserve">Kopš 2012.gada 1.janvāra azartspēļu nodevas un nodokļa likmes nav mainījušās, jo 2013.gadā tika nolemts azartspēļu nozarē mazināt ēnu ekonomikas īpatsvaru, ar 2019.gadu paredzot saslēgt azartspēļu automātus vienotā tīklā. Minētā risinājuma īstenošanai nozares uzņēmumiem ir jāveic uzkrājumi, kas vidēji vienam nozares uzņēmumam var pārsniegt 0,5 miljoni </w:t>
            </w:r>
            <w:r w:rsidRPr="008F30B2">
              <w:rPr>
                <w:i/>
              </w:rPr>
              <w:t>euro</w:t>
            </w:r>
            <w:r w:rsidRPr="008F30B2">
              <w:t xml:space="preserve">. </w:t>
            </w:r>
          </w:p>
          <w:p w:rsidR="000430C0" w:rsidRPr="008F30B2" w:rsidRDefault="000430C0" w:rsidP="002F4FF3">
            <w:pPr>
              <w:pStyle w:val="Header"/>
              <w:jc w:val="both"/>
            </w:pPr>
            <w:r w:rsidRPr="008F30B2">
              <w:t xml:space="preserve">No 2012.gada Latvijas ekonomiskā izaugsme pēc iekšzemes kopprodukta (IKP) ir bijusi ap 9,1% apmērā (IKP ir palielinājies no 22 043 milj. </w:t>
            </w:r>
            <w:r w:rsidRPr="008F30B2">
              <w:rPr>
                <w:i/>
              </w:rPr>
              <w:t>euro</w:t>
            </w:r>
            <w:r w:rsidRPr="008F30B2">
              <w:t xml:space="preserve"> 2012.gadā  līdz 24 059,7  milj. </w:t>
            </w:r>
            <w:r w:rsidRPr="008F30B2">
              <w:rPr>
                <w:i/>
              </w:rPr>
              <w:t>euro</w:t>
            </w:r>
            <w:r w:rsidRPr="008F30B2">
              <w:t xml:space="preserve"> 2014.gadā), iedzīvotāju pirktspēja ir būtiski pieaugusi un vidējā bruto mēneša darba samaksa valstī no 684,8 </w:t>
            </w:r>
            <w:r w:rsidRPr="008F30B2">
              <w:rPr>
                <w:i/>
              </w:rPr>
              <w:t>euro</w:t>
            </w:r>
            <w:r w:rsidRPr="008F30B2">
              <w:t xml:space="preserve"> 2012.gadā ir augusi līdz  765,2 </w:t>
            </w:r>
            <w:r w:rsidRPr="008F30B2">
              <w:rPr>
                <w:i/>
              </w:rPr>
              <w:t>euro</w:t>
            </w:r>
            <w:r w:rsidRPr="008F30B2">
              <w:t xml:space="preserve"> 2014.gadā, kas ir 11,7 % pieaugums šo gadu laikā. </w:t>
            </w:r>
          </w:p>
          <w:p w:rsidR="000430C0" w:rsidRPr="008F30B2" w:rsidRDefault="000430C0" w:rsidP="002F4FF3">
            <w:pPr>
              <w:pStyle w:val="Header"/>
              <w:jc w:val="both"/>
            </w:pPr>
            <w:r w:rsidRPr="008F30B2">
              <w:t xml:space="preserve">Šajā periodā arī azartspēļu nozares rādītāji ir būtiski palielinājušies: </w:t>
            </w:r>
          </w:p>
          <w:p w:rsidR="000430C0" w:rsidRPr="008F30B2" w:rsidRDefault="000430C0" w:rsidP="002F4FF3">
            <w:pPr>
              <w:pStyle w:val="Header"/>
              <w:numPr>
                <w:ilvl w:val="0"/>
                <w:numId w:val="35"/>
              </w:numPr>
              <w:tabs>
                <w:tab w:val="clear" w:pos="4153"/>
                <w:tab w:val="clear" w:pos="8306"/>
                <w:tab w:val="center" w:pos="-1260"/>
                <w:tab w:val="right" w:pos="1080"/>
              </w:tabs>
              <w:ind w:left="0" w:firstLine="357"/>
              <w:jc w:val="both"/>
            </w:pPr>
            <w:r w:rsidRPr="008F30B2">
              <w:rPr>
                <w:b/>
              </w:rPr>
              <w:t>azartspēļu automātu skaits</w:t>
            </w:r>
            <w:r w:rsidRPr="008F30B2">
              <w:t xml:space="preserve"> no 2012.gada 1.janvāra, kad tie bija 7 858 gab., ik gadu pieau</w:t>
            </w:r>
            <w:r w:rsidR="00AA7982" w:rsidRPr="008F30B2">
              <w:t>dzis</w:t>
            </w:r>
            <w:r w:rsidRPr="008F30B2">
              <w:t xml:space="preserve"> – 2013.gada 1.janvārī – 8103, 2014.gada 1.janvārī – 8135 un 2015.gada 1.janvārī, sasniedzot jau 8 379 gab.;</w:t>
            </w:r>
          </w:p>
          <w:p w:rsidR="000430C0" w:rsidRPr="008F30B2" w:rsidRDefault="000430C0" w:rsidP="002F4FF3">
            <w:pPr>
              <w:pStyle w:val="Header"/>
              <w:numPr>
                <w:ilvl w:val="0"/>
                <w:numId w:val="35"/>
              </w:numPr>
              <w:tabs>
                <w:tab w:val="clear" w:pos="4153"/>
                <w:tab w:val="clear" w:pos="8306"/>
                <w:tab w:val="right" w:pos="1080"/>
              </w:tabs>
              <w:ind w:left="0" w:firstLine="357"/>
              <w:jc w:val="both"/>
            </w:pPr>
            <w:r w:rsidRPr="008F30B2">
              <w:rPr>
                <w:b/>
              </w:rPr>
              <w:t xml:space="preserve">vidējais nodarbināto skaits </w:t>
            </w:r>
            <w:r w:rsidR="00AA7982" w:rsidRPr="008F30B2">
              <w:t xml:space="preserve">pieaudzis </w:t>
            </w:r>
            <w:r w:rsidRPr="008F30B2">
              <w:t>no 3 514 – 2012.gadā,   3 580 – 2013.gadā, 3 632 – 2014.gadā,  līdz 3 780 – 2015.gada sešos mēnešos;</w:t>
            </w:r>
          </w:p>
          <w:p w:rsidR="000430C0" w:rsidRPr="008F30B2" w:rsidRDefault="000430C0" w:rsidP="002F4FF3">
            <w:pPr>
              <w:pStyle w:val="Header"/>
              <w:numPr>
                <w:ilvl w:val="0"/>
                <w:numId w:val="35"/>
              </w:numPr>
              <w:tabs>
                <w:tab w:val="clear" w:pos="4153"/>
                <w:tab w:val="clear" w:pos="8306"/>
                <w:tab w:val="right" w:pos="1080"/>
              </w:tabs>
              <w:ind w:left="0" w:firstLine="357"/>
              <w:jc w:val="both"/>
            </w:pPr>
            <w:r w:rsidRPr="008F30B2">
              <w:rPr>
                <w:b/>
              </w:rPr>
              <w:t xml:space="preserve">ieņēmumi no azartspēlēm </w:t>
            </w:r>
            <w:r w:rsidR="00AA7982" w:rsidRPr="008F30B2">
              <w:t xml:space="preserve">pieauguši </w:t>
            </w:r>
            <w:r w:rsidRPr="008F30B2">
              <w:t xml:space="preserve">no </w:t>
            </w:r>
            <w:r w:rsidRPr="008F30B2">
              <w:lastRenderedPageBreak/>
              <w:t xml:space="preserve">150,33 milj. </w:t>
            </w:r>
            <w:r w:rsidRPr="008F30B2">
              <w:rPr>
                <w:i/>
              </w:rPr>
              <w:t>euro</w:t>
            </w:r>
            <w:r w:rsidRPr="008F30B2">
              <w:t xml:space="preserve"> – 2012.gadā, 157,57 milj.</w:t>
            </w:r>
            <w:r w:rsidRPr="008F30B2">
              <w:rPr>
                <w:i/>
              </w:rPr>
              <w:t xml:space="preserve"> euro</w:t>
            </w:r>
            <w:r w:rsidRPr="008F30B2">
              <w:t xml:space="preserve">  – 2013.gadā, līdz 173,13 milj.</w:t>
            </w:r>
            <w:r w:rsidRPr="008F30B2">
              <w:rPr>
                <w:i/>
              </w:rPr>
              <w:t xml:space="preserve"> euro</w:t>
            </w:r>
            <w:r w:rsidRPr="008F30B2">
              <w:t xml:space="preserve"> – 2014.gadā, kas veido aptuveni 15% pieaugumu;</w:t>
            </w:r>
          </w:p>
          <w:p w:rsidR="000430C0" w:rsidRPr="008F30B2" w:rsidRDefault="000430C0" w:rsidP="002F4FF3">
            <w:pPr>
              <w:pStyle w:val="Header"/>
              <w:numPr>
                <w:ilvl w:val="0"/>
                <w:numId w:val="35"/>
              </w:numPr>
              <w:tabs>
                <w:tab w:val="clear" w:pos="4153"/>
                <w:tab w:val="center" w:pos="1080"/>
              </w:tabs>
              <w:ind w:left="0" w:firstLine="357"/>
              <w:jc w:val="both"/>
            </w:pPr>
            <w:r w:rsidRPr="008F30B2">
              <w:rPr>
                <w:b/>
              </w:rPr>
              <w:t xml:space="preserve">rentabilitāte azartspēlēm </w:t>
            </w:r>
            <w:r w:rsidRPr="008F30B2">
              <w:t>pieaugusi no 20,96% (2012.gadā), 21,24% (2013.gadā), 22,79% (2014.gadā) uz 22,83% (2015.gada sešos mēnešos).</w:t>
            </w:r>
          </w:p>
          <w:p w:rsidR="00AA5080" w:rsidRPr="008F30B2" w:rsidRDefault="00AA5080" w:rsidP="002F4FF3">
            <w:pPr>
              <w:pStyle w:val="naisf"/>
              <w:spacing w:before="0" w:after="0"/>
              <w:ind w:firstLine="0"/>
            </w:pPr>
            <w:r w:rsidRPr="008F30B2">
              <w:t xml:space="preserve">Azartspēļu nozare ir saistīta ar īpaši augstu sociālo risku, tādēļ valstij ir nepieciešams veikt regulējošo funkciju, kas daļēji tiek īstenota ar azartspēļu nodevas un nodokļa palīdzību. </w:t>
            </w:r>
          </w:p>
          <w:p w:rsidR="00AA5080" w:rsidRPr="008F30B2" w:rsidRDefault="00AA5080" w:rsidP="002F4FF3">
            <w:pPr>
              <w:jc w:val="both"/>
              <w:rPr>
                <w:i/>
              </w:rPr>
            </w:pPr>
            <w:r w:rsidRPr="008F30B2">
              <w:t>Vienlaikus azartspēļu nodevai un nodoklim ir fiskālā funkcija, kuras uzdevums ir vismaz daļēji nodrošināt ieņēmumus azartspēļu iespējamo negatīvo seku mazināšanai.</w:t>
            </w:r>
          </w:p>
          <w:p w:rsidR="000430C0" w:rsidRPr="008F30B2" w:rsidRDefault="00AA5080" w:rsidP="002F4FF3">
            <w:pPr>
              <w:jc w:val="both"/>
            </w:pPr>
            <w:r w:rsidRPr="008F30B2">
              <w:rPr>
                <w:shd w:val="clear" w:color="auto" w:fill="FFFFFF"/>
              </w:rPr>
              <w:t>Lai palielinātu valsts budžeta ieņēmumus, sabalansējot tos ar  nozares ekonomiskās attīstības tempu un nozares uzņēmumiem uzliktajiem nākotnes pienākumiem (veikt azartspēļu automātu saslēgšanu vienotā tīklā</w:t>
            </w:r>
            <w:r w:rsidR="004A1137" w:rsidRPr="008F30B2">
              <w:rPr>
                <w:shd w:val="clear" w:color="auto" w:fill="FFFFFF"/>
              </w:rPr>
              <w:t>,</w:t>
            </w:r>
            <w:r w:rsidRPr="008F30B2">
              <w:rPr>
                <w:shd w:val="clear" w:color="auto" w:fill="FFFFFF"/>
              </w:rPr>
              <w:t xml:space="preserve"> sāk</w:t>
            </w:r>
            <w:r w:rsidR="004A1137" w:rsidRPr="008F30B2">
              <w:rPr>
                <w:shd w:val="clear" w:color="auto" w:fill="FFFFFF"/>
              </w:rPr>
              <w:t>o</w:t>
            </w:r>
            <w:r w:rsidRPr="008F30B2">
              <w:rPr>
                <w:shd w:val="clear" w:color="auto" w:fill="FFFFFF"/>
              </w:rPr>
              <w:t>t ar 2019.gadu), kā arī mazinātu azartspēļu atkarības risku, ir nepieciešams veikt grozījumus l</w:t>
            </w:r>
            <w:r w:rsidRPr="008F30B2">
              <w:t>ikumā “Par izložu un azartspēļu nodevu un nodokli”, palielinot azartspēļu nodev</w:t>
            </w:r>
            <w:r w:rsidR="004A1137" w:rsidRPr="008F30B2">
              <w:t>as</w:t>
            </w:r>
            <w:r w:rsidRPr="008F30B2">
              <w:t xml:space="preserve"> un nodokļ</w:t>
            </w:r>
            <w:r w:rsidR="004A1137" w:rsidRPr="008F30B2">
              <w:t>a</w:t>
            </w:r>
            <w:r w:rsidRPr="008F30B2">
              <w:t xml:space="preserve"> </w:t>
            </w:r>
            <w:r w:rsidR="007F1F88" w:rsidRPr="008F30B2">
              <w:t xml:space="preserve">likmju </w:t>
            </w:r>
            <w:r w:rsidRPr="008F30B2">
              <w:t>apmēru vidēji par 5 procentiem.</w:t>
            </w:r>
          </w:p>
          <w:p w:rsidR="007F1F88" w:rsidRPr="008F30B2" w:rsidRDefault="007F1F88" w:rsidP="002F4FF3">
            <w:pPr>
              <w:jc w:val="both"/>
            </w:pPr>
          </w:p>
          <w:p w:rsidR="00AB4559" w:rsidRPr="008F30B2" w:rsidRDefault="00AB4559" w:rsidP="002F4FF3">
            <w:pPr>
              <w:pStyle w:val="ListParagraph"/>
              <w:numPr>
                <w:ilvl w:val="0"/>
                <w:numId w:val="39"/>
              </w:numPr>
              <w:ind w:left="0" w:firstLine="360"/>
              <w:jc w:val="both"/>
              <w:rPr>
                <w:i/>
              </w:rPr>
            </w:pPr>
            <w:r w:rsidRPr="008F30B2">
              <w:rPr>
                <w:i/>
              </w:rPr>
              <w:t>Valsts nodeva</w:t>
            </w:r>
            <w:r w:rsidRPr="008F30B2">
              <w:rPr>
                <w:i/>
                <w:shd w:val="clear" w:color="auto" w:fill="FFFFFF"/>
              </w:rPr>
              <w:t xml:space="preserve"> par speciālo atļauju (licenci) azartspēļu organizēšanai un uzturēšanai</w:t>
            </w:r>
            <w:r w:rsidR="00724B1C" w:rsidRPr="008F30B2">
              <w:rPr>
                <w:i/>
                <w:shd w:val="clear" w:color="auto" w:fill="FFFFFF"/>
              </w:rPr>
              <w:t xml:space="preserve"> (</w:t>
            </w:r>
            <w:r w:rsidR="00805EC6" w:rsidRPr="008F30B2">
              <w:rPr>
                <w:i/>
              </w:rPr>
              <w:t>likum</w:t>
            </w:r>
            <w:r w:rsidR="00805EC6" w:rsidRPr="008F30B2">
              <w:rPr>
                <w:i/>
                <w:lang w:val="lv-LV"/>
              </w:rPr>
              <w:t>a</w:t>
            </w:r>
            <w:r w:rsidR="00805EC6" w:rsidRPr="008F30B2">
              <w:rPr>
                <w:i/>
              </w:rPr>
              <w:t xml:space="preserve"> “Par izložu un azartspēļu nodevu un nodokli”</w:t>
            </w:r>
            <w:r w:rsidR="00805EC6" w:rsidRPr="008F30B2">
              <w:rPr>
                <w:i/>
                <w:lang w:val="lv-LV"/>
              </w:rPr>
              <w:t xml:space="preserve"> </w:t>
            </w:r>
            <w:r w:rsidR="00724B1C" w:rsidRPr="008F30B2">
              <w:rPr>
                <w:i/>
                <w:shd w:val="clear" w:color="auto" w:fill="FFFFFF"/>
              </w:rPr>
              <w:t xml:space="preserve">2.panta pirmās daļas 1.punkta </w:t>
            </w:r>
            <w:r w:rsidR="00724B1C" w:rsidRPr="008F30B2">
              <w:rPr>
                <w:i/>
              </w:rPr>
              <w:t>“</w:t>
            </w:r>
            <w:r w:rsidR="00724B1C" w:rsidRPr="008F30B2">
              <w:rPr>
                <w:i/>
                <w:shd w:val="clear" w:color="auto" w:fill="FFFFFF"/>
              </w:rPr>
              <w:t>b</w:t>
            </w:r>
            <w:r w:rsidR="00724B1C" w:rsidRPr="008F30B2">
              <w:rPr>
                <w:i/>
              </w:rPr>
              <w:t>”</w:t>
            </w:r>
            <w:r w:rsidR="00724B1C" w:rsidRPr="008F30B2">
              <w:rPr>
                <w:i/>
                <w:shd w:val="clear" w:color="auto" w:fill="FFFFFF"/>
              </w:rPr>
              <w:t xml:space="preserve">, </w:t>
            </w:r>
            <w:r w:rsidR="00724B1C" w:rsidRPr="008F30B2">
              <w:rPr>
                <w:i/>
              </w:rPr>
              <w:t>“</w:t>
            </w:r>
            <w:r w:rsidR="00724B1C" w:rsidRPr="008F30B2">
              <w:rPr>
                <w:i/>
                <w:shd w:val="clear" w:color="auto" w:fill="FFFFFF"/>
              </w:rPr>
              <w:t>c</w:t>
            </w:r>
            <w:r w:rsidR="00724B1C" w:rsidRPr="008F30B2">
              <w:rPr>
                <w:i/>
              </w:rPr>
              <w:t xml:space="preserve">”, “d” un “e” </w:t>
            </w:r>
            <w:r w:rsidR="00724B1C" w:rsidRPr="008F30B2">
              <w:rPr>
                <w:i/>
                <w:shd w:val="clear" w:color="auto" w:fill="FFFFFF"/>
              </w:rPr>
              <w:t xml:space="preserve">apakšpunkts, 2.punkta </w:t>
            </w:r>
            <w:r w:rsidR="00724B1C" w:rsidRPr="008F30B2">
              <w:rPr>
                <w:i/>
              </w:rPr>
              <w:t>“</w:t>
            </w:r>
            <w:r w:rsidR="00724B1C" w:rsidRPr="008F30B2">
              <w:rPr>
                <w:i/>
                <w:shd w:val="clear" w:color="auto" w:fill="FFFFFF"/>
              </w:rPr>
              <w:t>a</w:t>
            </w:r>
            <w:r w:rsidR="00724B1C" w:rsidRPr="008F30B2">
              <w:rPr>
                <w:i/>
              </w:rPr>
              <w:t>”, “</w:t>
            </w:r>
            <w:r w:rsidR="00724B1C" w:rsidRPr="008F30B2">
              <w:rPr>
                <w:i/>
                <w:shd w:val="clear" w:color="auto" w:fill="FFFFFF"/>
              </w:rPr>
              <w:t>b</w:t>
            </w:r>
            <w:r w:rsidR="00724B1C" w:rsidRPr="008F30B2">
              <w:rPr>
                <w:i/>
              </w:rPr>
              <w:t>” un</w:t>
            </w:r>
            <w:r w:rsidR="00724B1C" w:rsidRPr="008F30B2">
              <w:rPr>
                <w:i/>
                <w:shd w:val="clear" w:color="auto" w:fill="FFFFFF"/>
              </w:rPr>
              <w:t xml:space="preserve"> </w:t>
            </w:r>
            <w:r w:rsidR="00724B1C" w:rsidRPr="008F30B2">
              <w:rPr>
                <w:i/>
              </w:rPr>
              <w:t>“</w:t>
            </w:r>
            <w:r w:rsidR="00724B1C" w:rsidRPr="008F30B2">
              <w:rPr>
                <w:i/>
                <w:shd w:val="clear" w:color="auto" w:fill="FFFFFF"/>
              </w:rPr>
              <w:t>c</w:t>
            </w:r>
            <w:r w:rsidR="00724B1C" w:rsidRPr="008F30B2">
              <w:rPr>
                <w:i/>
              </w:rPr>
              <w:t>”</w:t>
            </w:r>
            <w:r w:rsidR="00805EC6" w:rsidRPr="008F30B2">
              <w:rPr>
                <w:i/>
                <w:shd w:val="clear" w:color="auto" w:fill="FFFFFF"/>
              </w:rPr>
              <w:t xml:space="preserve"> apakšpunkts</w:t>
            </w:r>
            <w:r w:rsidR="00724B1C" w:rsidRPr="008F30B2">
              <w:rPr>
                <w:i/>
              </w:rPr>
              <w:t>,</w:t>
            </w:r>
            <w:r w:rsidR="00805EC6" w:rsidRPr="008F30B2">
              <w:rPr>
                <w:i/>
              </w:rPr>
              <w:t xml:space="preserve"> 3</w:t>
            </w:r>
            <w:r w:rsidR="00805EC6" w:rsidRPr="008F30B2">
              <w:rPr>
                <w:i/>
                <w:shd w:val="clear" w:color="auto" w:fill="FFFFFF"/>
              </w:rPr>
              <w:t xml:space="preserve">.punkta </w:t>
            </w:r>
            <w:r w:rsidR="00805EC6" w:rsidRPr="008F30B2">
              <w:rPr>
                <w:i/>
              </w:rPr>
              <w:t>“</w:t>
            </w:r>
            <w:r w:rsidR="00805EC6" w:rsidRPr="008F30B2">
              <w:rPr>
                <w:i/>
                <w:shd w:val="clear" w:color="auto" w:fill="FFFFFF"/>
              </w:rPr>
              <w:t>a</w:t>
            </w:r>
            <w:r w:rsidR="00805EC6" w:rsidRPr="008F30B2">
              <w:rPr>
                <w:i/>
              </w:rPr>
              <w:t>”, “</w:t>
            </w:r>
            <w:r w:rsidR="00805EC6" w:rsidRPr="008F30B2">
              <w:rPr>
                <w:i/>
                <w:shd w:val="clear" w:color="auto" w:fill="FFFFFF"/>
              </w:rPr>
              <w:t>b</w:t>
            </w:r>
            <w:r w:rsidR="00805EC6" w:rsidRPr="008F30B2">
              <w:rPr>
                <w:i/>
              </w:rPr>
              <w:t>” un</w:t>
            </w:r>
            <w:r w:rsidR="00805EC6" w:rsidRPr="008F30B2">
              <w:rPr>
                <w:i/>
                <w:shd w:val="clear" w:color="auto" w:fill="FFFFFF"/>
              </w:rPr>
              <w:t xml:space="preserve"> </w:t>
            </w:r>
            <w:r w:rsidR="00805EC6" w:rsidRPr="008F30B2">
              <w:rPr>
                <w:i/>
              </w:rPr>
              <w:t>“</w:t>
            </w:r>
            <w:r w:rsidR="00805EC6" w:rsidRPr="008F30B2">
              <w:rPr>
                <w:i/>
                <w:shd w:val="clear" w:color="auto" w:fill="FFFFFF"/>
              </w:rPr>
              <w:t>c</w:t>
            </w:r>
            <w:r w:rsidR="00805EC6" w:rsidRPr="008F30B2">
              <w:rPr>
                <w:i/>
              </w:rPr>
              <w:t>”</w:t>
            </w:r>
            <w:r w:rsidR="00805EC6" w:rsidRPr="008F30B2">
              <w:rPr>
                <w:i/>
                <w:shd w:val="clear" w:color="auto" w:fill="FFFFFF"/>
              </w:rPr>
              <w:t xml:space="preserve"> apakšpunkts)</w:t>
            </w:r>
          </w:p>
          <w:p w:rsidR="00DD007C" w:rsidRPr="008F30B2" w:rsidRDefault="00DD007C" w:rsidP="002F4FF3">
            <w:pPr>
              <w:jc w:val="both"/>
            </w:pPr>
            <w:r w:rsidRPr="008F30B2">
              <w:t xml:space="preserve">Lai Latvijas Republikā pašreiz varētu organizēt azartspēles, azartspēļu organizētajam ir jāizņem azartspēļu organizēšanas licence, par kuru ir maksājama valsts nodeva. Šobrīd </w:t>
            </w:r>
            <w:r w:rsidR="000046F0" w:rsidRPr="008F30B2">
              <w:t>l</w:t>
            </w:r>
            <w:r w:rsidRPr="008F30B2">
              <w:t>ikum</w:t>
            </w:r>
            <w:r w:rsidR="00A87696" w:rsidRPr="008F30B2">
              <w:t>a</w:t>
            </w:r>
            <w:r w:rsidRPr="008F30B2">
              <w:t xml:space="preserve"> </w:t>
            </w:r>
            <w:r w:rsidR="000046F0" w:rsidRPr="008F30B2">
              <w:t xml:space="preserve">“Par izložu un azartspēļu nodevu un nodokli” </w:t>
            </w:r>
            <w:r w:rsidR="000A512E" w:rsidRPr="008F30B2">
              <w:t>2.pant</w:t>
            </w:r>
            <w:r w:rsidR="00250B3E" w:rsidRPr="008F30B2">
              <w:t>a pirmajā daļā</w:t>
            </w:r>
            <w:r w:rsidR="000A512E" w:rsidRPr="008F30B2">
              <w:t xml:space="preserve"> </w:t>
            </w:r>
            <w:r w:rsidRPr="008F30B2">
              <w:t>ir noteikts šāds valsts nodevas apmērs</w:t>
            </w:r>
            <w:r w:rsidR="00127D2F" w:rsidRPr="008F30B2">
              <w:t>:</w:t>
            </w:r>
            <w:r w:rsidRPr="008F30B2">
              <w:t xml:space="preserve"> </w:t>
            </w:r>
          </w:p>
          <w:p w:rsidR="00127D2F" w:rsidRPr="008F30B2" w:rsidRDefault="00127D2F" w:rsidP="002F4FF3">
            <w:pPr>
              <w:jc w:val="both"/>
            </w:pPr>
            <w:r w:rsidRPr="008F30B2">
              <w:t>1)</w:t>
            </w:r>
            <w:r w:rsidR="00A87696" w:rsidRPr="008F30B2">
              <w:t xml:space="preserve"> </w:t>
            </w:r>
            <w:r w:rsidR="00DD007C" w:rsidRPr="008F30B2">
              <w:t>spēļu automāt</w:t>
            </w:r>
            <w:r w:rsidR="000A4B0E" w:rsidRPr="008F30B2">
              <w:t>u</w:t>
            </w:r>
            <w:r w:rsidR="00DD007C" w:rsidRPr="008F30B2">
              <w:t>, bingo, ruletes, kāršu un kauliņu spēles organizēšanai</w:t>
            </w:r>
            <w:r w:rsidR="000A4B0E" w:rsidRPr="008F30B2">
              <w:t xml:space="preserve"> un uzturēšanai</w:t>
            </w:r>
            <w:r w:rsidRPr="008F30B2">
              <w:t>:</w:t>
            </w:r>
          </w:p>
          <w:p w:rsidR="00DD007C" w:rsidRPr="008F30B2" w:rsidRDefault="00A87696" w:rsidP="002F4FF3">
            <w:pPr>
              <w:jc w:val="both"/>
            </w:pPr>
            <w:r w:rsidRPr="008F30B2">
              <w:t xml:space="preserve">- </w:t>
            </w:r>
            <w:r w:rsidR="00127D2F" w:rsidRPr="008F30B2">
              <w:t>par licences izsniegšanu</w:t>
            </w:r>
            <w:r w:rsidR="00DD007C" w:rsidRPr="008F30B2">
              <w:t xml:space="preserve"> ir noteikts 427 000 </w:t>
            </w:r>
            <w:r w:rsidR="00DD007C" w:rsidRPr="008F30B2">
              <w:rPr>
                <w:i/>
              </w:rPr>
              <w:t>euro</w:t>
            </w:r>
            <w:r w:rsidR="00DD007C" w:rsidRPr="008F30B2">
              <w:t xml:space="preserve"> apmērā,  savukārt par licences </w:t>
            </w:r>
            <w:r w:rsidR="000A512E" w:rsidRPr="008F30B2">
              <w:t xml:space="preserve">pagarināšanu, ikgadējo </w:t>
            </w:r>
            <w:r w:rsidR="00DD007C" w:rsidRPr="008F30B2">
              <w:t>pārreģistrāciju</w:t>
            </w:r>
            <w:r w:rsidR="000A512E" w:rsidRPr="008F30B2">
              <w:t xml:space="preserve"> (par katru kārtējo gadu)</w:t>
            </w:r>
            <w:r w:rsidR="00DD007C" w:rsidRPr="008F30B2">
              <w:t xml:space="preserve"> – 35 580 </w:t>
            </w:r>
            <w:r w:rsidR="00DD007C" w:rsidRPr="008F30B2">
              <w:rPr>
                <w:i/>
              </w:rPr>
              <w:t>euro</w:t>
            </w:r>
            <w:r w:rsidR="00DD007C" w:rsidRPr="008F30B2">
              <w:t xml:space="preserve"> apmērā;</w:t>
            </w:r>
          </w:p>
          <w:p w:rsidR="00A87696" w:rsidRPr="008F30B2" w:rsidRDefault="00A87696" w:rsidP="002F4FF3">
            <w:pPr>
              <w:jc w:val="both"/>
            </w:pPr>
            <w:r w:rsidRPr="008F30B2">
              <w:t>- par kazino atvēršanas licenci (par katru kārtējo gadu) ir noteikts 28 460</w:t>
            </w:r>
            <w:r w:rsidRPr="008F30B2">
              <w:rPr>
                <w:i/>
              </w:rPr>
              <w:t xml:space="preserve"> euro</w:t>
            </w:r>
            <w:r w:rsidRPr="008F30B2">
              <w:t xml:space="preserve"> apmērā;</w:t>
            </w:r>
          </w:p>
          <w:p w:rsidR="00A87696" w:rsidRPr="008F30B2" w:rsidRDefault="00A87696" w:rsidP="002F4FF3">
            <w:pPr>
              <w:jc w:val="both"/>
            </w:pPr>
            <w:r w:rsidRPr="008F30B2">
              <w:t xml:space="preserve">- </w:t>
            </w:r>
            <w:r w:rsidRPr="008F30B2">
              <w:rPr>
                <w:shd w:val="clear" w:color="auto" w:fill="FFFFFF"/>
              </w:rPr>
              <w:t>par spēļu zāles vai bingo zāles atvēršanas licenci  (par katru kārtējo gadu) ir noteikts 4</w:t>
            </w:r>
            <w:r w:rsidR="00290CE3" w:rsidRPr="008F30B2">
              <w:rPr>
                <w:shd w:val="clear" w:color="auto" w:fill="FFFFFF"/>
              </w:rPr>
              <w:t xml:space="preserve"> </w:t>
            </w:r>
            <w:r w:rsidRPr="008F30B2">
              <w:rPr>
                <w:shd w:val="clear" w:color="auto" w:fill="FFFFFF"/>
              </w:rPr>
              <w:t>270</w:t>
            </w:r>
            <w:r w:rsidRPr="008F30B2">
              <w:rPr>
                <w:rStyle w:val="apple-converted-space"/>
                <w:shd w:val="clear" w:color="auto" w:fill="FFFFFF"/>
              </w:rPr>
              <w:t> </w:t>
            </w:r>
            <w:r w:rsidRPr="008F30B2">
              <w:rPr>
                <w:i/>
                <w:iCs/>
                <w:shd w:val="clear" w:color="auto" w:fill="FFFFFF"/>
              </w:rPr>
              <w:t>euro</w:t>
            </w:r>
            <w:r w:rsidR="007F1F88" w:rsidRPr="008F30B2">
              <w:rPr>
                <w:i/>
                <w:iCs/>
                <w:shd w:val="clear" w:color="auto" w:fill="FFFFFF"/>
              </w:rPr>
              <w:t xml:space="preserve"> </w:t>
            </w:r>
            <w:r w:rsidR="007F1F88" w:rsidRPr="008F30B2">
              <w:rPr>
                <w:iCs/>
                <w:shd w:val="clear" w:color="auto" w:fill="FFFFFF"/>
              </w:rPr>
              <w:t>apmērā</w:t>
            </w:r>
            <w:r w:rsidRPr="008F30B2">
              <w:rPr>
                <w:shd w:val="clear" w:color="auto" w:fill="FFFFFF"/>
              </w:rPr>
              <w:t>;</w:t>
            </w:r>
          </w:p>
          <w:p w:rsidR="00DD007C" w:rsidRPr="008F30B2" w:rsidRDefault="00A87696" w:rsidP="002F4FF3">
            <w:pPr>
              <w:jc w:val="both"/>
            </w:pPr>
            <w:r w:rsidRPr="008F30B2">
              <w:t xml:space="preserve">2) </w:t>
            </w:r>
            <w:r w:rsidR="00DD007C" w:rsidRPr="008F30B2">
              <w:t xml:space="preserve">totalizatora </w:t>
            </w:r>
            <w:r w:rsidR="0007635E" w:rsidRPr="008F30B2">
              <w:t>vai</w:t>
            </w:r>
            <w:r w:rsidR="00DD007C" w:rsidRPr="008F30B2">
              <w:t xml:space="preserve"> derību organizēšan</w:t>
            </w:r>
            <w:r w:rsidR="0007635E" w:rsidRPr="008F30B2">
              <w:t>ai</w:t>
            </w:r>
            <w:r w:rsidR="00DD2D6F" w:rsidRPr="008F30B2">
              <w:t xml:space="preserve"> un uzturēšanai: par licences izsniegšanu, </w:t>
            </w:r>
            <w:r w:rsidR="0007635E" w:rsidRPr="008F30B2">
              <w:t>pagarināšanu, ikgadējo</w:t>
            </w:r>
            <w:r w:rsidR="00DD007C" w:rsidRPr="008F30B2">
              <w:t xml:space="preserve"> pārreģistrāciju </w:t>
            </w:r>
            <w:r w:rsidR="0007635E" w:rsidRPr="008F30B2">
              <w:t xml:space="preserve">(par katru kārtējo gadu) </w:t>
            </w:r>
            <w:r w:rsidR="00DD007C" w:rsidRPr="008F30B2">
              <w:t xml:space="preserve">– 42 690 </w:t>
            </w:r>
            <w:r w:rsidR="00DD007C" w:rsidRPr="008F30B2">
              <w:rPr>
                <w:i/>
              </w:rPr>
              <w:t>euro</w:t>
            </w:r>
            <w:r w:rsidR="00DD007C" w:rsidRPr="008F30B2">
              <w:t xml:space="preserve"> apmērā;</w:t>
            </w:r>
          </w:p>
          <w:p w:rsidR="00DD007C" w:rsidRPr="008F30B2" w:rsidRDefault="00DD2D6F" w:rsidP="002F4FF3">
            <w:pPr>
              <w:jc w:val="both"/>
            </w:pPr>
            <w:r w:rsidRPr="008F30B2">
              <w:lastRenderedPageBreak/>
              <w:t xml:space="preserve">3) </w:t>
            </w:r>
            <w:r w:rsidR="00DD007C" w:rsidRPr="008F30B2">
              <w:t>veiksmes spēl</w:t>
            </w:r>
            <w:r w:rsidRPr="008F30B2">
              <w:t>es pa tālruni  organizēšanai un uzturēšanai:</w:t>
            </w:r>
            <w:r w:rsidR="00DD007C" w:rsidRPr="008F30B2">
              <w:t xml:space="preserve"> </w:t>
            </w:r>
            <w:r w:rsidRPr="008F30B2">
              <w:t xml:space="preserve"> par licences izsniegšanu, pagarināšanu, ikgadējo pārreģistrāciju (par katru kārtējo gadu) </w:t>
            </w:r>
            <w:r w:rsidR="00DD007C" w:rsidRPr="008F30B2">
              <w:t xml:space="preserve">ir noteikts 14 230 </w:t>
            </w:r>
            <w:r w:rsidR="00DD007C" w:rsidRPr="008F30B2">
              <w:rPr>
                <w:i/>
              </w:rPr>
              <w:t>euro</w:t>
            </w:r>
            <w:r w:rsidR="00DD007C" w:rsidRPr="008F30B2">
              <w:t xml:space="preserve"> apmērā</w:t>
            </w:r>
            <w:r w:rsidRPr="008F30B2">
              <w:t>.</w:t>
            </w:r>
          </w:p>
          <w:p w:rsidR="000A1296" w:rsidRPr="008F30B2" w:rsidRDefault="000A1296" w:rsidP="00985AF6">
            <w:pPr>
              <w:pStyle w:val="naisf"/>
              <w:spacing w:before="0" w:after="0"/>
              <w:ind w:firstLine="0"/>
            </w:pPr>
            <w:r w:rsidRPr="008F30B2">
              <w:t xml:space="preserve"> </w:t>
            </w:r>
          </w:p>
          <w:p w:rsidR="000A4B0E" w:rsidRPr="008F30B2" w:rsidRDefault="00635DBB" w:rsidP="00931BCC">
            <w:pPr>
              <w:jc w:val="both"/>
            </w:pPr>
            <w:r w:rsidRPr="008F30B2">
              <w:t>Likumprojektā “Grozījumi likumā “Par izložu un azartspēļu nodevu un nodokli””</w:t>
            </w:r>
            <w:r w:rsidR="000A512E" w:rsidRPr="008F30B2">
              <w:t xml:space="preserve"> (turpmāk – Likumprojekts) paredzēts </w:t>
            </w:r>
            <w:r w:rsidR="00703EFE" w:rsidRPr="008F30B2">
              <w:t>robežās no</w:t>
            </w:r>
            <w:r w:rsidR="000A4B0E" w:rsidRPr="008F30B2">
              <w:t xml:space="preserve"> </w:t>
            </w:r>
            <w:r w:rsidR="00263271" w:rsidRPr="008F30B2">
              <w:t xml:space="preserve">4 līdz </w:t>
            </w:r>
            <w:r w:rsidR="000A4B0E" w:rsidRPr="008F30B2">
              <w:t>5</w:t>
            </w:r>
            <w:r w:rsidR="00263271" w:rsidRPr="008F30B2">
              <w:t>,4</w:t>
            </w:r>
            <w:r w:rsidR="00B94891" w:rsidRPr="008F30B2">
              <w:t>1</w:t>
            </w:r>
            <w:r w:rsidR="00263271" w:rsidRPr="008F30B2">
              <w:rPr>
                <w:iCs/>
                <w:color w:val="000000"/>
              </w:rPr>
              <w:t>%</w:t>
            </w:r>
            <w:r w:rsidR="000A4B0E" w:rsidRPr="008F30B2">
              <w:t xml:space="preserve"> </w:t>
            </w:r>
            <w:r w:rsidR="005E41CC" w:rsidRPr="008F30B2">
              <w:t xml:space="preserve">paaugstināt </w:t>
            </w:r>
            <w:r w:rsidR="009107D4" w:rsidRPr="008F30B2">
              <w:t xml:space="preserve">visas </w:t>
            </w:r>
            <w:r w:rsidR="00263271" w:rsidRPr="008F30B2">
              <w:t xml:space="preserve">azartspēļu </w:t>
            </w:r>
            <w:r w:rsidR="000A512E" w:rsidRPr="008F30B2">
              <w:t>nodevas likmes</w:t>
            </w:r>
            <w:r w:rsidR="000A4B0E" w:rsidRPr="008F30B2">
              <w:t xml:space="preserve">, </w:t>
            </w:r>
            <w:r w:rsidR="009107D4" w:rsidRPr="008F30B2">
              <w:t>izņemot nodev</w:t>
            </w:r>
            <w:r w:rsidR="007F1F88" w:rsidRPr="008F30B2">
              <w:t>as likmi</w:t>
            </w:r>
            <w:r w:rsidR="009107D4" w:rsidRPr="008F30B2">
              <w:t xml:space="preserve"> par licences izsniegšanu spēļu automātu, bingo, ruletes, kāršu un kauliņu spēles organizēšanai, jo tā šobrīd ir ļoti augsta (427 000 </w:t>
            </w:r>
            <w:r w:rsidR="009107D4" w:rsidRPr="008F30B2">
              <w:rPr>
                <w:i/>
              </w:rPr>
              <w:t>euro</w:t>
            </w:r>
            <w:r w:rsidR="009107D4" w:rsidRPr="008F30B2">
              <w:t xml:space="preserve"> apmērā).</w:t>
            </w:r>
            <w:r w:rsidR="00703EFE" w:rsidRPr="008F30B2">
              <w:t xml:space="preserve"> </w:t>
            </w:r>
            <w:r w:rsidR="009107D4" w:rsidRPr="008F30B2">
              <w:t>Likumprojekt</w:t>
            </w:r>
            <w:r w:rsidR="00703EFE" w:rsidRPr="008F30B2">
              <w:t>s paredz šādu azartspēļu nodevas likmju pieaugumu:</w:t>
            </w:r>
          </w:p>
          <w:p w:rsidR="00DD2D6F" w:rsidRPr="008F30B2" w:rsidRDefault="00DD2D6F" w:rsidP="00931BCC">
            <w:pPr>
              <w:jc w:val="both"/>
            </w:pPr>
            <w:r w:rsidRPr="008F30B2">
              <w:t>1) spēļu automātu, bingo, ruletes, kāršu un kauliņu spēles organizēšanai un uzturēšanai:</w:t>
            </w:r>
          </w:p>
          <w:p w:rsidR="00DD2D6F" w:rsidRPr="008F30B2" w:rsidRDefault="00DD2D6F" w:rsidP="00931BCC">
            <w:pPr>
              <w:pStyle w:val="ListParagraph"/>
              <w:ind w:left="0"/>
              <w:jc w:val="both"/>
            </w:pPr>
            <w:r w:rsidRPr="008F30B2">
              <w:rPr>
                <w:lang w:val="lv-LV"/>
              </w:rPr>
              <w:t xml:space="preserve">- </w:t>
            </w:r>
            <w:r w:rsidRPr="008F30B2">
              <w:t xml:space="preserve">par licences pagarināšanu, ikgadējo pārreģistrāciju (par katru kārtējo gadu) – </w:t>
            </w:r>
            <w:r w:rsidRPr="008F30B2">
              <w:rPr>
                <w:lang w:val="lv-LV"/>
              </w:rPr>
              <w:t xml:space="preserve">no </w:t>
            </w:r>
            <w:r w:rsidRPr="008F30B2">
              <w:rPr>
                <w:b/>
              </w:rPr>
              <w:t xml:space="preserve">35 580 </w:t>
            </w:r>
            <w:r w:rsidRPr="008F30B2">
              <w:rPr>
                <w:b/>
                <w:i/>
              </w:rPr>
              <w:t>euro</w:t>
            </w:r>
            <w:r w:rsidRPr="008F30B2">
              <w:rPr>
                <w:b/>
              </w:rPr>
              <w:t xml:space="preserve"> </w:t>
            </w:r>
            <w:r w:rsidRPr="008F30B2">
              <w:rPr>
                <w:lang w:val="lv-LV"/>
              </w:rPr>
              <w:t xml:space="preserve">uz </w:t>
            </w:r>
            <w:r w:rsidRPr="008F30B2">
              <w:rPr>
                <w:b/>
                <w:lang w:val="lv-LV"/>
              </w:rPr>
              <w:t xml:space="preserve">37 000 </w:t>
            </w:r>
            <w:r w:rsidRPr="008F30B2">
              <w:rPr>
                <w:b/>
                <w:i/>
              </w:rPr>
              <w:t>euro</w:t>
            </w:r>
            <w:r w:rsidRPr="008F30B2">
              <w:t>;</w:t>
            </w:r>
          </w:p>
          <w:p w:rsidR="00DD2D6F" w:rsidRPr="008F30B2" w:rsidRDefault="00DD2D6F" w:rsidP="00931BCC">
            <w:pPr>
              <w:jc w:val="both"/>
            </w:pPr>
            <w:r w:rsidRPr="008F30B2">
              <w:t xml:space="preserve">- par kazino atvēršanas licenci (par katru kārtējo gadu) </w:t>
            </w:r>
            <w:r w:rsidR="002637EF" w:rsidRPr="008F30B2">
              <w:t xml:space="preserve">– no </w:t>
            </w:r>
            <w:r w:rsidRPr="008F30B2">
              <w:rPr>
                <w:b/>
              </w:rPr>
              <w:t>28 460</w:t>
            </w:r>
            <w:r w:rsidRPr="008F30B2">
              <w:rPr>
                <w:i/>
              </w:rPr>
              <w:t xml:space="preserve"> </w:t>
            </w:r>
            <w:r w:rsidRPr="008F30B2">
              <w:rPr>
                <w:b/>
                <w:i/>
              </w:rPr>
              <w:t>euro</w:t>
            </w:r>
            <w:r w:rsidRPr="008F30B2">
              <w:t xml:space="preserve"> </w:t>
            </w:r>
            <w:r w:rsidR="002637EF" w:rsidRPr="008F30B2">
              <w:t xml:space="preserve">uz </w:t>
            </w:r>
            <w:r w:rsidR="002637EF" w:rsidRPr="008F30B2">
              <w:rPr>
                <w:b/>
              </w:rPr>
              <w:t xml:space="preserve">30 000 </w:t>
            </w:r>
            <w:r w:rsidR="002637EF" w:rsidRPr="008F30B2">
              <w:rPr>
                <w:b/>
                <w:i/>
              </w:rPr>
              <w:t>euro</w:t>
            </w:r>
            <w:r w:rsidRPr="008F30B2">
              <w:t>;</w:t>
            </w:r>
          </w:p>
          <w:p w:rsidR="00DD2D6F" w:rsidRPr="008F30B2" w:rsidRDefault="00DD2D6F" w:rsidP="00931BCC">
            <w:pPr>
              <w:jc w:val="both"/>
            </w:pPr>
            <w:r w:rsidRPr="008F30B2">
              <w:t xml:space="preserve">- </w:t>
            </w:r>
            <w:r w:rsidRPr="008F30B2">
              <w:rPr>
                <w:shd w:val="clear" w:color="auto" w:fill="FFFFFF"/>
              </w:rPr>
              <w:t>par spēļu zāles vai bingo zāles atvēršanas licenci (par katru kārtējo gadu)</w:t>
            </w:r>
            <w:r w:rsidR="002637EF" w:rsidRPr="008F30B2">
              <w:t xml:space="preserve"> – no</w:t>
            </w:r>
            <w:r w:rsidRPr="008F30B2">
              <w:rPr>
                <w:shd w:val="clear" w:color="auto" w:fill="FFFFFF"/>
              </w:rPr>
              <w:t xml:space="preserve"> </w:t>
            </w:r>
            <w:r w:rsidRPr="008F30B2">
              <w:rPr>
                <w:b/>
                <w:shd w:val="clear" w:color="auto" w:fill="FFFFFF"/>
              </w:rPr>
              <w:t>4</w:t>
            </w:r>
            <w:r w:rsidR="002637EF" w:rsidRPr="008F30B2">
              <w:rPr>
                <w:b/>
                <w:shd w:val="clear" w:color="auto" w:fill="FFFFFF"/>
              </w:rPr>
              <w:t xml:space="preserve"> </w:t>
            </w:r>
            <w:r w:rsidRPr="008F30B2">
              <w:rPr>
                <w:b/>
                <w:shd w:val="clear" w:color="auto" w:fill="FFFFFF"/>
              </w:rPr>
              <w:t>270</w:t>
            </w:r>
            <w:r w:rsidRPr="008F30B2">
              <w:rPr>
                <w:rStyle w:val="apple-converted-space"/>
                <w:shd w:val="clear" w:color="auto" w:fill="FFFFFF"/>
              </w:rPr>
              <w:t> </w:t>
            </w:r>
            <w:r w:rsidRPr="008F30B2">
              <w:rPr>
                <w:b/>
                <w:i/>
                <w:iCs/>
                <w:shd w:val="clear" w:color="auto" w:fill="FFFFFF"/>
              </w:rPr>
              <w:t>euro</w:t>
            </w:r>
            <w:r w:rsidR="002637EF" w:rsidRPr="008F30B2">
              <w:rPr>
                <w:i/>
                <w:iCs/>
                <w:shd w:val="clear" w:color="auto" w:fill="FFFFFF"/>
              </w:rPr>
              <w:t xml:space="preserve"> uz </w:t>
            </w:r>
            <w:r w:rsidR="002637EF" w:rsidRPr="008F30B2">
              <w:rPr>
                <w:b/>
                <w:iCs/>
                <w:shd w:val="clear" w:color="auto" w:fill="FFFFFF"/>
              </w:rPr>
              <w:t>4 500</w:t>
            </w:r>
            <w:r w:rsidR="002637EF" w:rsidRPr="008F30B2">
              <w:rPr>
                <w:b/>
                <w:i/>
              </w:rPr>
              <w:t xml:space="preserve"> euro</w:t>
            </w:r>
            <w:r w:rsidRPr="008F30B2">
              <w:rPr>
                <w:shd w:val="clear" w:color="auto" w:fill="FFFFFF"/>
              </w:rPr>
              <w:t>;</w:t>
            </w:r>
          </w:p>
          <w:p w:rsidR="00DD2D6F" w:rsidRPr="008F30B2" w:rsidRDefault="00DD2D6F" w:rsidP="00931BCC">
            <w:pPr>
              <w:jc w:val="both"/>
            </w:pPr>
            <w:r w:rsidRPr="008F30B2">
              <w:t>2) totalizatora vai derību organizēšanai un uzturēšanai: par licences izsniegšanu, pagarināšanu, ikgadējo pārreģistrāciju</w:t>
            </w:r>
            <w:r w:rsidR="00940B6B" w:rsidRPr="008F30B2">
              <w:t xml:space="preserve"> </w:t>
            </w:r>
            <w:r w:rsidRPr="008F30B2">
              <w:t xml:space="preserve">(par katru kārtējo gadu) – </w:t>
            </w:r>
            <w:r w:rsidR="002637EF" w:rsidRPr="008F30B2">
              <w:t xml:space="preserve">no </w:t>
            </w:r>
            <w:r w:rsidRPr="008F30B2">
              <w:rPr>
                <w:b/>
              </w:rPr>
              <w:t xml:space="preserve">42 690 </w:t>
            </w:r>
            <w:r w:rsidRPr="008F30B2">
              <w:rPr>
                <w:b/>
                <w:i/>
              </w:rPr>
              <w:t>euro</w:t>
            </w:r>
            <w:r w:rsidRPr="008F30B2">
              <w:t xml:space="preserve"> </w:t>
            </w:r>
            <w:r w:rsidR="00724B1C" w:rsidRPr="008F30B2">
              <w:t xml:space="preserve"> uz </w:t>
            </w:r>
            <w:r w:rsidR="00724B1C" w:rsidRPr="008F30B2">
              <w:rPr>
                <w:b/>
              </w:rPr>
              <w:t>45 000</w:t>
            </w:r>
            <w:r w:rsidR="00724B1C" w:rsidRPr="008F30B2">
              <w:t xml:space="preserve">  </w:t>
            </w:r>
            <w:r w:rsidR="00724B1C" w:rsidRPr="008F30B2">
              <w:rPr>
                <w:b/>
                <w:i/>
              </w:rPr>
              <w:t>euro</w:t>
            </w:r>
            <w:r w:rsidRPr="008F30B2">
              <w:t>;</w:t>
            </w:r>
          </w:p>
          <w:p w:rsidR="00DD2D6F" w:rsidRPr="008F30B2" w:rsidRDefault="00DD2D6F" w:rsidP="00931BCC">
            <w:pPr>
              <w:jc w:val="both"/>
            </w:pPr>
            <w:r w:rsidRPr="008F30B2">
              <w:t xml:space="preserve">3) veiksmes spēles pa tālruni  organizēšanai un uzturēšanai:  par licences izsniegšanu, pagarināšanu, ikgadējo pārreģistrāciju (par katru kārtējo gadu) </w:t>
            </w:r>
            <w:r w:rsidR="00724B1C" w:rsidRPr="008F30B2">
              <w:t xml:space="preserve">– no </w:t>
            </w:r>
            <w:r w:rsidRPr="008F30B2">
              <w:rPr>
                <w:b/>
              </w:rPr>
              <w:t xml:space="preserve">14 230 </w:t>
            </w:r>
            <w:r w:rsidRPr="008F30B2">
              <w:rPr>
                <w:b/>
                <w:i/>
              </w:rPr>
              <w:t>euro</w:t>
            </w:r>
            <w:r w:rsidRPr="008F30B2">
              <w:t xml:space="preserve"> </w:t>
            </w:r>
            <w:r w:rsidR="00724B1C" w:rsidRPr="008F30B2">
              <w:t xml:space="preserve">uz </w:t>
            </w:r>
            <w:r w:rsidR="00724B1C" w:rsidRPr="008F30B2">
              <w:rPr>
                <w:b/>
              </w:rPr>
              <w:t>15 000</w:t>
            </w:r>
            <w:r w:rsidR="00724B1C" w:rsidRPr="008F30B2">
              <w:t xml:space="preserve"> </w:t>
            </w:r>
            <w:r w:rsidR="00724B1C" w:rsidRPr="008F30B2">
              <w:rPr>
                <w:b/>
                <w:i/>
              </w:rPr>
              <w:t>euro</w:t>
            </w:r>
            <w:r w:rsidRPr="008F30B2">
              <w:t>.</w:t>
            </w:r>
          </w:p>
          <w:p w:rsidR="00DD2D6F" w:rsidRPr="008F30B2" w:rsidRDefault="00DD2D6F" w:rsidP="00931BCC">
            <w:pPr>
              <w:jc w:val="both"/>
            </w:pPr>
          </w:p>
          <w:p w:rsidR="00805EC6" w:rsidRPr="008F30B2" w:rsidRDefault="00AB4559" w:rsidP="002F4FF3">
            <w:pPr>
              <w:pStyle w:val="ListParagraph"/>
              <w:numPr>
                <w:ilvl w:val="0"/>
                <w:numId w:val="35"/>
              </w:numPr>
              <w:ind w:left="0" w:firstLine="360"/>
              <w:jc w:val="both"/>
              <w:rPr>
                <w:i/>
              </w:rPr>
            </w:pPr>
            <w:r w:rsidRPr="008F30B2">
              <w:rPr>
                <w:i/>
              </w:rPr>
              <w:t>Azartspēļu nodoklis rulete</w:t>
            </w:r>
            <w:r w:rsidR="00481207" w:rsidRPr="008F30B2">
              <w:rPr>
                <w:i/>
              </w:rPr>
              <w:t>i (cilindriskajai</w:t>
            </w:r>
            <w:r w:rsidRPr="008F30B2">
              <w:rPr>
                <w:i/>
              </w:rPr>
              <w:t xml:space="preserve"> spēle</w:t>
            </w:r>
            <w:r w:rsidR="00481207" w:rsidRPr="008F30B2">
              <w:rPr>
                <w:i/>
              </w:rPr>
              <w:t>i</w:t>
            </w:r>
            <w:r w:rsidRPr="008F30B2">
              <w:rPr>
                <w:i/>
              </w:rPr>
              <w:t>)</w:t>
            </w:r>
            <w:r w:rsidR="00481207" w:rsidRPr="008F30B2">
              <w:rPr>
                <w:i/>
              </w:rPr>
              <w:t>, kāršu un kauliņu spēlēm, videospēlēm un mehāniskiem automātiem</w:t>
            </w:r>
            <w:r w:rsidR="00805EC6" w:rsidRPr="008F30B2">
              <w:rPr>
                <w:i/>
                <w:lang w:val="lv-LV"/>
              </w:rPr>
              <w:t xml:space="preserve"> </w:t>
            </w:r>
            <w:r w:rsidR="00805EC6" w:rsidRPr="008F30B2">
              <w:rPr>
                <w:i/>
                <w:shd w:val="clear" w:color="auto" w:fill="FFFFFF"/>
              </w:rPr>
              <w:t>(</w:t>
            </w:r>
            <w:r w:rsidR="00805EC6" w:rsidRPr="008F30B2">
              <w:rPr>
                <w:i/>
              </w:rPr>
              <w:t>likum</w:t>
            </w:r>
            <w:r w:rsidR="00805EC6" w:rsidRPr="008F30B2">
              <w:rPr>
                <w:i/>
                <w:lang w:val="lv-LV"/>
              </w:rPr>
              <w:t>a</w:t>
            </w:r>
            <w:r w:rsidR="00805EC6" w:rsidRPr="008F30B2">
              <w:rPr>
                <w:i/>
              </w:rPr>
              <w:t xml:space="preserve"> “Par izložu un azartspēļu nodevu un nodokli”</w:t>
            </w:r>
            <w:r w:rsidR="00805EC6" w:rsidRPr="008F30B2">
              <w:rPr>
                <w:i/>
                <w:lang w:val="lv-LV"/>
              </w:rPr>
              <w:t xml:space="preserve"> 3</w:t>
            </w:r>
            <w:r w:rsidR="00805EC6" w:rsidRPr="008F30B2">
              <w:rPr>
                <w:i/>
                <w:shd w:val="clear" w:color="auto" w:fill="FFFFFF"/>
              </w:rPr>
              <w:t>.panta pirmās daļas 1.</w:t>
            </w:r>
            <w:r w:rsidR="00805EC6" w:rsidRPr="008F30B2">
              <w:rPr>
                <w:i/>
                <w:shd w:val="clear" w:color="auto" w:fill="FFFFFF"/>
                <w:lang w:val="lv-LV"/>
              </w:rPr>
              <w:t xml:space="preserve">, 2. un </w:t>
            </w:r>
            <w:r w:rsidR="00805EC6" w:rsidRPr="008F30B2">
              <w:rPr>
                <w:i/>
              </w:rPr>
              <w:t>3</w:t>
            </w:r>
            <w:r w:rsidR="00805EC6" w:rsidRPr="008F30B2">
              <w:rPr>
                <w:i/>
                <w:shd w:val="clear" w:color="auto" w:fill="FFFFFF"/>
              </w:rPr>
              <w:t>.punkts)</w:t>
            </w:r>
          </w:p>
          <w:p w:rsidR="000A512E" w:rsidRPr="008F30B2" w:rsidRDefault="00CD4089" w:rsidP="00985AF6">
            <w:pPr>
              <w:pStyle w:val="tv213"/>
              <w:shd w:val="clear" w:color="auto" w:fill="FFFFFF"/>
              <w:spacing w:before="0" w:beforeAutospacing="0" w:after="0" w:afterAutospacing="0"/>
              <w:jc w:val="both"/>
              <w:rPr>
                <w:shd w:val="clear" w:color="auto" w:fill="FFFFFF"/>
              </w:rPr>
            </w:pPr>
            <w:r w:rsidRPr="008F30B2">
              <w:t>Likuma “Par izložu un azartspēļu nodevu un nodokli” 3.pant</w:t>
            </w:r>
            <w:r w:rsidR="003844D0" w:rsidRPr="008F30B2">
              <w:t>a pirmā daļa</w:t>
            </w:r>
            <w:r w:rsidRPr="008F30B2">
              <w:t xml:space="preserve"> paredz, ka </w:t>
            </w:r>
            <w:r w:rsidRPr="008F30B2">
              <w:rPr>
                <w:shd w:val="clear" w:color="auto" w:fill="FFFFFF"/>
              </w:rPr>
              <w:t xml:space="preserve">ar azartspēļu nodokli apliekamais objekts ir azartspēļu organizētājs </w:t>
            </w:r>
            <w:r w:rsidRPr="008F30B2">
              <w:t>–</w:t>
            </w:r>
            <w:r w:rsidRPr="008F30B2">
              <w:rPr>
                <w:shd w:val="clear" w:color="auto" w:fill="FFFFFF"/>
              </w:rPr>
              <w:t xml:space="preserve"> kapitālsabiedrība, azartspēļu norises vieta un spēļu iekārtas. No katras iekārtotās vai uzstādītās azartspēļu tiešās norises vietas iekasējams nodoklis par katru kārtējo kalendāro gadu saskaņā ar šā pant</w:t>
            </w:r>
            <w:r w:rsidR="008719C6" w:rsidRPr="008F30B2">
              <w:rPr>
                <w:shd w:val="clear" w:color="auto" w:fill="FFFFFF"/>
              </w:rPr>
              <w:t>a pirmajā daļā</w:t>
            </w:r>
            <w:r w:rsidRPr="008F30B2">
              <w:rPr>
                <w:shd w:val="clear" w:color="auto" w:fill="FFFFFF"/>
              </w:rPr>
              <w:t xml:space="preserve"> noteiktajām likmēm. </w:t>
            </w:r>
          </w:p>
          <w:p w:rsidR="000430C0" w:rsidRPr="008F30B2" w:rsidRDefault="00CD4089" w:rsidP="00985AF6">
            <w:pPr>
              <w:pStyle w:val="tv213"/>
              <w:shd w:val="clear" w:color="auto" w:fill="FFFFFF"/>
              <w:spacing w:before="0" w:beforeAutospacing="0" w:after="0" w:afterAutospacing="0"/>
              <w:jc w:val="both"/>
              <w:rPr>
                <w:shd w:val="clear" w:color="auto" w:fill="FFFFFF"/>
              </w:rPr>
            </w:pPr>
            <w:r w:rsidRPr="008F30B2">
              <w:rPr>
                <w:shd w:val="clear" w:color="auto" w:fill="FFFFFF"/>
              </w:rPr>
              <w:t xml:space="preserve">Šobrīd </w:t>
            </w:r>
            <w:r w:rsidR="002C57D6" w:rsidRPr="008F30B2">
              <w:rPr>
                <w:shd w:val="clear" w:color="auto" w:fill="FFFFFF"/>
              </w:rPr>
              <w:t>l</w:t>
            </w:r>
            <w:r w:rsidR="002C57D6" w:rsidRPr="008F30B2">
              <w:t>ikum</w:t>
            </w:r>
            <w:r w:rsidR="00250B3E" w:rsidRPr="008F30B2">
              <w:t>a</w:t>
            </w:r>
            <w:r w:rsidR="002C57D6" w:rsidRPr="008F30B2">
              <w:t xml:space="preserve"> “Par izložu un azartspēļu nodevu un nodokli” </w:t>
            </w:r>
            <w:r w:rsidR="00250B3E" w:rsidRPr="008F30B2">
              <w:t xml:space="preserve">3.panta pirmajā daļā </w:t>
            </w:r>
            <w:r w:rsidRPr="008F30B2">
              <w:rPr>
                <w:shd w:val="clear" w:color="auto" w:fill="FFFFFF"/>
              </w:rPr>
              <w:t xml:space="preserve">azartspēļu nodokļa likme ruletei (cilindriskajai spēlei) </w:t>
            </w:r>
            <w:r w:rsidRPr="008F30B2">
              <w:t xml:space="preserve"> –</w:t>
            </w:r>
            <w:r w:rsidRPr="008F30B2">
              <w:rPr>
                <w:shd w:val="clear" w:color="auto" w:fill="FFFFFF"/>
              </w:rPr>
              <w:t xml:space="preserve"> par katru ruletes rotējošajai iekārtai pievienoto spēļu galdu ir </w:t>
            </w:r>
            <w:r w:rsidR="002C57D6" w:rsidRPr="008F30B2">
              <w:rPr>
                <w:shd w:val="clear" w:color="auto" w:fill="FFFFFF"/>
              </w:rPr>
              <w:t xml:space="preserve">noteikta </w:t>
            </w:r>
            <w:r w:rsidRPr="008F30B2">
              <w:rPr>
                <w:shd w:val="clear" w:color="auto" w:fill="FFFFFF"/>
              </w:rPr>
              <w:t>17 279,36</w:t>
            </w:r>
            <w:r w:rsidRPr="008F30B2">
              <w:rPr>
                <w:rStyle w:val="apple-converted-space"/>
                <w:shd w:val="clear" w:color="auto" w:fill="FFFFFF"/>
              </w:rPr>
              <w:t> </w:t>
            </w:r>
            <w:r w:rsidRPr="008F30B2">
              <w:rPr>
                <w:i/>
                <w:iCs/>
                <w:shd w:val="clear" w:color="auto" w:fill="FFFFFF"/>
              </w:rPr>
              <w:t>euro</w:t>
            </w:r>
            <w:r w:rsidRPr="008F30B2">
              <w:rPr>
                <w:shd w:val="clear" w:color="auto" w:fill="FFFFFF"/>
              </w:rPr>
              <w:t>. Azartspēļu nodokļa likme kāršu un kauliņu spēl</w:t>
            </w:r>
            <w:r w:rsidR="001B3650" w:rsidRPr="008F30B2">
              <w:rPr>
                <w:shd w:val="clear" w:color="auto" w:fill="FFFFFF"/>
              </w:rPr>
              <w:t>ēm</w:t>
            </w:r>
            <w:r w:rsidRPr="008F30B2">
              <w:rPr>
                <w:shd w:val="clear" w:color="auto" w:fill="FFFFFF"/>
              </w:rPr>
              <w:t xml:space="preserve"> </w:t>
            </w:r>
            <w:r w:rsidRPr="008F30B2">
              <w:t>–</w:t>
            </w:r>
            <w:r w:rsidRPr="008F30B2">
              <w:rPr>
                <w:shd w:val="clear" w:color="auto" w:fill="FFFFFF"/>
              </w:rPr>
              <w:t xml:space="preserve"> par katru galdu ir </w:t>
            </w:r>
            <w:r w:rsidR="002C57D6" w:rsidRPr="008F30B2">
              <w:rPr>
                <w:shd w:val="clear" w:color="auto" w:fill="FFFFFF"/>
              </w:rPr>
              <w:t xml:space="preserve">noteikta </w:t>
            </w:r>
            <w:r w:rsidRPr="008F30B2">
              <w:rPr>
                <w:shd w:val="clear" w:color="auto" w:fill="FFFFFF"/>
              </w:rPr>
              <w:t>17 279,36</w:t>
            </w:r>
            <w:r w:rsidRPr="008F30B2">
              <w:rPr>
                <w:rStyle w:val="apple-converted-space"/>
                <w:shd w:val="clear" w:color="auto" w:fill="FFFFFF"/>
              </w:rPr>
              <w:t> </w:t>
            </w:r>
            <w:r w:rsidRPr="008F30B2">
              <w:rPr>
                <w:i/>
                <w:iCs/>
                <w:shd w:val="clear" w:color="auto" w:fill="FFFFFF"/>
              </w:rPr>
              <w:t>euro</w:t>
            </w:r>
            <w:r w:rsidRPr="008F30B2">
              <w:rPr>
                <w:shd w:val="clear" w:color="auto" w:fill="FFFFFF"/>
              </w:rPr>
              <w:t xml:space="preserve">.  Azartspēļu nodokļa likme videospēlēm un mehāniskiem automātiem </w:t>
            </w:r>
            <w:r w:rsidRPr="008F30B2">
              <w:lastRenderedPageBreak/>
              <w:t>–</w:t>
            </w:r>
            <w:r w:rsidRPr="008F30B2">
              <w:rPr>
                <w:shd w:val="clear" w:color="auto" w:fill="FFFFFF"/>
              </w:rPr>
              <w:t xml:space="preserve"> par katra automāta katru spēles vietu </w:t>
            </w:r>
            <w:r w:rsidR="002C57D6" w:rsidRPr="008F30B2">
              <w:rPr>
                <w:shd w:val="clear" w:color="auto" w:fill="FFFFFF"/>
              </w:rPr>
              <w:t>ir noteikta</w:t>
            </w:r>
            <w:r w:rsidRPr="008F30B2">
              <w:rPr>
                <w:shd w:val="clear" w:color="auto" w:fill="FFFFFF"/>
              </w:rPr>
              <w:t xml:space="preserve"> 3141,70</w:t>
            </w:r>
            <w:r w:rsidRPr="008F30B2">
              <w:rPr>
                <w:rStyle w:val="apple-converted-space"/>
                <w:shd w:val="clear" w:color="auto" w:fill="FFFFFF"/>
              </w:rPr>
              <w:t> </w:t>
            </w:r>
            <w:r w:rsidRPr="008F30B2">
              <w:rPr>
                <w:i/>
                <w:iCs/>
                <w:shd w:val="clear" w:color="auto" w:fill="FFFFFF"/>
              </w:rPr>
              <w:t>euro</w:t>
            </w:r>
            <w:r w:rsidRPr="008F30B2">
              <w:rPr>
                <w:shd w:val="clear" w:color="auto" w:fill="FFFFFF"/>
              </w:rPr>
              <w:t>.</w:t>
            </w:r>
          </w:p>
          <w:p w:rsidR="002C57D6" w:rsidRPr="008F30B2" w:rsidRDefault="002C57D6" w:rsidP="00985AF6">
            <w:pPr>
              <w:pStyle w:val="tv213"/>
              <w:shd w:val="clear" w:color="auto" w:fill="FFFFFF"/>
              <w:spacing w:before="0" w:beforeAutospacing="0" w:after="0" w:afterAutospacing="0"/>
              <w:jc w:val="both"/>
            </w:pPr>
            <w:r w:rsidRPr="008F30B2">
              <w:rPr>
                <w:shd w:val="clear" w:color="auto" w:fill="FFFFFF"/>
              </w:rPr>
              <w:t>Lai palielinātu valsts budžeta ieņēmumus</w:t>
            </w:r>
            <w:r w:rsidR="000430C0" w:rsidRPr="008F30B2">
              <w:rPr>
                <w:shd w:val="clear" w:color="auto" w:fill="FFFFFF"/>
              </w:rPr>
              <w:t>, sabalansējot to</w:t>
            </w:r>
            <w:r w:rsidR="00AA5080" w:rsidRPr="008F30B2">
              <w:rPr>
                <w:shd w:val="clear" w:color="auto" w:fill="FFFFFF"/>
              </w:rPr>
              <w:t>s</w:t>
            </w:r>
            <w:r w:rsidR="000430C0" w:rsidRPr="008F30B2">
              <w:rPr>
                <w:shd w:val="clear" w:color="auto" w:fill="FFFFFF"/>
              </w:rPr>
              <w:t xml:space="preserve"> ar  nozares </w:t>
            </w:r>
            <w:r w:rsidR="00AA5080" w:rsidRPr="008F30B2">
              <w:rPr>
                <w:shd w:val="clear" w:color="auto" w:fill="FFFFFF"/>
              </w:rPr>
              <w:t xml:space="preserve">ekonomiskās </w:t>
            </w:r>
            <w:r w:rsidR="000430C0" w:rsidRPr="008F30B2">
              <w:rPr>
                <w:shd w:val="clear" w:color="auto" w:fill="FFFFFF"/>
              </w:rPr>
              <w:t xml:space="preserve">attīstības tempu </w:t>
            </w:r>
            <w:r w:rsidR="00AA5080" w:rsidRPr="008F30B2">
              <w:rPr>
                <w:shd w:val="clear" w:color="auto" w:fill="FFFFFF"/>
              </w:rPr>
              <w:t>un nozares uzņēmumiem uzliktajiem nākotnes pienākumiem (veikt azartspēļu automātu saslēgšanu vienotā tīklā</w:t>
            </w:r>
            <w:r w:rsidR="007F1F88" w:rsidRPr="008F30B2">
              <w:rPr>
                <w:shd w:val="clear" w:color="auto" w:fill="FFFFFF"/>
              </w:rPr>
              <w:t>,</w:t>
            </w:r>
            <w:r w:rsidR="00AA5080" w:rsidRPr="008F30B2">
              <w:rPr>
                <w:shd w:val="clear" w:color="auto" w:fill="FFFFFF"/>
              </w:rPr>
              <w:t xml:space="preserve"> sāk</w:t>
            </w:r>
            <w:r w:rsidR="007F1F88" w:rsidRPr="008F30B2">
              <w:rPr>
                <w:shd w:val="clear" w:color="auto" w:fill="FFFFFF"/>
              </w:rPr>
              <w:t>o</w:t>
            </w:r>
            <w:r w:rsidR="00AA5080" w:rsidRPr="008F30B2">
              <w:rPr>
                <w:shd w:val="clear" w:color="auto" w:fill="FFFFFF"/>
              </w:rPr>
              <w:t>t ar 2019.gadu)</w:t>
            </w:r>
            <w:r w:rsidRPr="008F30B2">
              <w:rPr>
                <w:shd w:val="clear" w:color="auto" w:fill="FFFFFF"/>
              </w:rPr>
              <w:t xml:space="preserve"> un </w:t>
            </w:r>
            <w:r w:rsidR="00AA5080" w:rsidRPr="008F30B2">
              <w:rPr>
                <w:shd w:val="clear" w:color="auto" w:fill="FFFFFF"/>
              </w:rPr>
              <w:t>neradītu pārmērīgu risku nozares uzņēmumu darbības virzībai uz ēnu ekonomiku</w:t>
            </w:r>
            <w:r w:rsidRPr="008F30B2">
              <w:rPr>
                <w:shd w:val="clear" w:color="auto" w:fill="FFFFFF"/>
              </w:rPr>
              <w:t>, ir nepieciešams veikt grozījumus l</w:t>
            </w:r>
            <w:r w:rsidRPr="008F30B2">
              <w:t xml:space="preserve">ikumā “Par izložu un azartspēļu nodevu un nodokli”, </w:t>
            </w:r>
            <w:r w:rsidR="00AA5080" w:rsidRPr="008F30B2">
              <w:t xml:space="preserve">samērīgi (līdzīgā apmērā kā </w:t>
            </w:r>
            <w:r w:rsidR="001B3650" w:rsidRPr="008F30B2">
              <w:t xml:space="preserve">azartspēļu </w:t>
            </w:r>
            <w:r w:rsidR="00AA5080" w:rsidRPr="008F30B2">
              <w:t>nodev</w:t>
            </w:r>
            <w:r w:rsidR="001B3650" w:rsidRPr="008F30B2">
              <w:t>as</w:t>
            </w:r>
            <w:r w:rsidR="008719C6" w:rsidRPr="008F30B2">
              <w:t xml:space="preserve"> likmju</w:t>
            </w:r>
            <w:r w:rsidR="00AA5080" w:rsidRPr="008F30B2">
              <w:t xml:space="preserve"> palielinājums) </w:t>
            </w:r>
            <w:r w:rsidRPr="008F30B2">
              <w:t xml:space="preserve">palielinot azartspēļu nodokļa likmi ruletei (par katru galdu), </w:t>
            </w:r>
            <w:r w:rsidRPr="008F30B2">
              <w:rPr>
                <w:shd w:val="clear" w:color="auto" w:fill="FFFFFF"/>
              </w:rPr>
              <w:t xml:space="preserve"> kāršu un kauliņu spēlēm </w:t>
            </w:r>
            <w:r w:rsidRPr="008F30B2">
              <w:t>(par katru galdu) un videospēlēm un mehāniskajiem automātiem (par katra automāta katru spēles vietu).</w:t>
            </w:r>
          </w:p>
          <w:p w:rsidR="008D5C72" w:rsidRPr="008F30B2" w:rsidRDefault="002C57D6" w:rsidP="00985AF6">
            <w:pPr>
              <w:pStyle w:val="tv213"/>
              <w:shd w:val="clear" w:color="auto" w:fill="FFFFFF"/>
              <w:spacing w:before="0" w:beforeAutospacing="0" w:after="0" w:afterAutospacing="0"/>
              <w:jc w:val="both"/>
            </w:pPr>
            <w:r w:rsidRPr="008F30B2">
              <w:t xml:space="preserve">Likumprojekta mērķis ir paaugstināt azartspēļu nodokļa likmi no </w:t>
            </w:r>
            <w:r w:rsidRPr="008F30B2">
              <w:rPr>
                <w:b/>
                <w:shd w:val="clear" w:color="auto" w:fill="FFFFFF"/>
              </w:rPr>
              <w:t>17 279,36</w:t>
            </w:r>
            <w:r w:rsidRPr="008F30B2">
              <w:rPr>
                <w:rStyle w:val="apple-converted-space"/>
                <w:b/>
                <w:shd w:val="clear" w:color="auto" w:fill="FFFFFF"/>
              </w:rPr>
              <w:t> </w:t>
            </w:r>
            <w:r w:rsidRPr="008F30B2">
              <w:rPr>
                <w:b/>
                <w:i/>
                <w:iCs/>
                <w:shd w:val="clear" w:color="auto" w:fill="FFFFFF"/>
              </w:rPr>
              <w:t xml:space="preserve">euro </w:t>
            </w:r>
            <w:r w:rsidRPr="008F30B2">
              <w:rPr>
                <w:iCs/>
                <w:shd w:val="clear" w:color="auto" w:fill="FFFFFF"/>
              </w:rPr>
              <w:t>uz</w:t>
            </w:r>
            <w:r w:rsidRPr="008F30B2">
              <w:rPr>
                <w:b/>
                <w:i/>
                <w:iCs/>
                <w:shd w:val="clear" w:color="auto" w:fill="FFFFFF"/>
              </w:rPr>
              <w:t xml:space="preserve"> </w:t>
            </w:r>
            <w:r w:rsidRPr="008F30B2">
              <w:rPr>
                <w:b/>
                <w:iCs/>
                <w:shd w:val="clear" w:color="auto" w:fill="FFFFFF"/>
              </w:rPr>
              <w:t xml:space="preserve">18 000 </w:t>
            </w:r>
            <w:r w:rsidRPr="008F30B2">
              <w:rPr>
                <w:b/>
                <w:i/>
                <w:iCs/>
                <w:shd w:val="clear" w:color="auto" w:fill="FFFFFF"/>
              </w:rPr>
              <w:t>euro</w:t>
            </w:r>
            <w:r w:rsidR="008D5C72" w:rsidRPr="008F30B2">
              <w:t xml:space="preserve"> ruletei (par katru galdu) un kāršu un kauliņu  spēlei (par katru galdu) par kalendāro gadu un paaugstināt azartspēļu nodokļa likmi no </w:t>
            </w:r>
            <w:r w:rsidR="008D5C72" w:rsidRPr="008F30B2">
              <w:rPr>
                <w:b/>
                <w:shd w:val="clear" w:color="auto" w:fill="FFFFFF"/>
              </w:rPr>
              <w:t>3141,70</w:t>
            </w:r>
            <w:r w:rsidR="008D5C72" w:rsidRPr="008F30B2">
              <w:rPr>
                <w:rStyle w:val="apple-converted-space"/>
                <w:b/>
                <w:shd w:val="clear" w:color="auto" w:fill="FFFFFF"/>
              </w:rPr>
              <w:t> </w:t>
            </w:r>
            <w:r w:rsidR="008D5C72" w:rsidRPr="008F30B2">
              <w:rPr>
                <w:b/>
                <w:i/>
                <w:iCs/>
                <w:shd w:val="clear" w:color="auto" w:fill="FFFFFF"/>
              </w:rPr>
              <w:t xml:space="preserve">euro </w:t>
            </w:r>
            <w:r w:rsidR="008D5C72" w:rsidRPr="008F30B2">
              <w:rPr>
                <w:iCs/>
                <w:shd w:val="clear" w:color="auto" w:fill="FFFFFF"/>
              </w:rPr>
              <w:t xml:space="preserve">uz </w:t>
            </w:r>
            <w:r w:rsidR="008D5C72" w:rsidRPr="008F30B2">
              <w:rPr>
                <w:b/>
                <w:iCs/>
                <w:shd w:val="clear" w:color="auto" w:fill="FFFFFF"/>
              </w:rPr>
              <w:t>3 300</w:t>
            </w:r>
            <w:r w:rsidR="008D5C72" w:rsidRPr="008F30B2">
              <w:rPr>
                <w:iCs/>
                <w:shd w:val="clear" w:color="auto" w:fill="FFFFFF"/>
              </w:rPr>
              <w:t xml:space="preserve"> </w:t>
            </w:r>
            <w:r w:rsidR="008D5C72" w:rsidRPr="008F30B2">
              <w:rPr>
                <w:b/>
                <w:i/>
                <w:iCs/>
                <w:shd w:val="clear" w:color="auto" w:fill="FFFFFF"/>
              </w:rPr>
              <w:t xml:space="preserve">euro </w:t>
            </w:r>
            <w:r w:rsidR="008D5C72" w:rsidRPr="008F30B2">
              <w:rPr>
                <w:iCs/>
                <w:shd w:val="clear" w:color="auto" w:fill="FFFFFF"/>
              </w:rPr>
              <w:t xml:space="preserve">videospēlēm un </w:t>
            </w:r>
            <w:r w:rsidR="008D5C72" w:rsidRPr="008F30B2">
              <w:t xml:space="preserve"> mehāniskajiem automātiem (par katra automāta katru spēles vietu). Pieaugums azartspēļu nodokļa likm</w:t>
            </w:r>
            <w:r w:rsidR="00703EFE" w:rsidRPr="008F30B2">
              <w:t>ēm</w:t>
            </w:r>
            <w:r w:rsidR="008D5C72" w:rsidRPr="008F30B2">
              <w:t xml:space="preserve"> </w:t>
            </w:r>
            <w:r w:rsidR="00B94891" w:rsidRPr="008F30B2">
              <w:t>paredzēts</w:t>
            </w:r>
            <w:r w:rsidR="008D5C72" w:rsidRPr="008F30B2">
              <w:t xml:space="preserve"> </w:t>
            </w:r>
            <w:r w:rsidR="00703EFE" w:rsidRPr="008F30B2">
              <w:t xml:space="preserve">robežās no </w:t>
            </w:r>
            <w:r w:rsidR="008D5C72" w:rsidRPr="008F30B2">
              <w:t xml:space="preserve"> </w:t>
            </w:r>
            <w:r w:rsidR="00B94891" w:rsidRPr="008F30B2">
              <w:t xml:space="preserve">4,2 līdz </w:t>
            </w:r>
            <w:r w:rsidR="008D5C72" w:rsidRPr="008F30B2">
              <w:t>5</w:t>
            </w:r>
            <w:r w:rsidR="00B94891" w:rsidRPr="008F30B2">
              <w:t>,06%.</w:t>
            </w:r>
            <w:r w:rsidR="008D5C72" w:rsidRPr="008F30B2">
              <w:t xml:space="preserve">  </w:t>
            </w:r>
          </w:p>
          <w:p w:rsidR="00C22742" w:rsidRPr="008F30B2" w:rsidRDefault="006F47C0" w:rsidP="00985AF6">
            <w:pPr>
              <w:pStyle w:val="tv213"/>
              <w:shd w:val="clear" w:color="auto" w:fill="FFFFFF"/>
              <w:spacing w:before="0" w:beforeAutospacing="0" w:after="0" w:afterAutospacing="0"/>
              <w:jc w:val="both"/>
            </w:pPr>
            <w:r w:rsidRPr="008F30B2">
              <w:t xml:space="preserve">Būtiski </w:t>
            </w:r>
            <w:r w:rsidR="00AA5080" w:rsidRPr="008F30B2">
              <w:t xml:space="preserve">(vairāk kā 10%) </w:t>
            </w:r>
            <w:r w:rsidRPr="008F30B2">
              <w:t>p</w:t>
            </w:r>
            <w:r w:rsidR="00FE55F3" w:rsidRPr="008F30B2">
              <w:t xml:space="preserve">alielinot azartspēļu nodokļa likmi ruletei, kāršu un kauliņu spēlēm, </w:t>
            </w:r>
            <w:r w:rsidR="00FE55F3" w:rsidRPr="008F30B2">
              <w:rPr>
                <w:iCs/>
                <w:shd w:val="clear" w:color="auto" w:fill="FFFFFF"/>
              </w:rPr>
              <w:t xml:space="preserve">videospēlēm un </w:t>
            </w:r>
            <w:r w:rsidR="00FE55F3" w:rsidRPr="008F30B2">
              <w:t xml:space="preserve">mehāniskajiem automātiem, </w:t>
            </w:r>
            <w:r w:rsidRPr="008F30B2">
              <w:t>pastāv risks</w:t>
            </w:r>
            <w:r w:rsidR="00FE55F3" w:rsidRPr="008F30B2">
              <w:t>, ka samazināsies šo azartspēļu iekārtu daudzums kazino un spēļu zālēs</w:t>
            </w:r>
            <w:r w:rsidR="00EC5ABB" w:rsidRPr="008F30B2">
              <w:t xml:space="preserve"> (samazinot to līdz minimāli pieļaujamam skaitam)</w:t>
            </w:r>
            <w:r w:rsidR="00AA5080" w:rsidRPr="008F30B2">
              <w:t xml:space="preserve">, bet palielināsies atlikušo iekārtu noslogojums, kas nemazinās </w:t>
            </w:r>
            <w:r w:rsidR="00FE55F3" w:rsidRPr="008F30B2">
              <w:t xml:space="preserve"> azartspēļu atkarīgo personu </w:t>
            </w:r>
            <w:r w:rsidR="00EC5ABB" w:rsidRPr="008F30B2">
              <w:t>skaitu, bet mazinās azartspēļu nodokļ</w:t>
            </w:r>
            <w:r w:rsidR="007F1F88" w:rsidRPr="008F30B2">
              <w:t>a</w:t>
            </w:r>
            <w:r w:rsidR="00EC5ABB" w:rsidRPr="008F30B2">
              <w:t xml:space="preserve"> ieņēmumus</w:t>
            </w:r>
            <w:r w:rsidR="00FE55F3" w:rsidRPr="008F30B2">
              <w:t>.</w:t>
            </w:r>
          </w:p>
          <w:p w:rsidR="00243A99" w:rsidRPr="008F30B2" w:rsidRDefault="00B94891" w:rsidP="002F4FF3">
            <w:pPr>
              <w:pStyle w:val="tv213"/>
              <w:shd w:val="clear" w:color="auto" w:fill="FFFFFF"/>
              <w:spacing w:before="0" w:beforeAutospacing="0" w:after="0" w:afterAutospacing="0"/>
              <w:jc w:val="both"/>
            </w:pPr>
            <w:r w:rsidRPr="008F30B2">
              <w:t>Likumprojekt</w:t>
            </w:r>
            <w:r w:rsidR="00942644" w:rsidRPr="008F30B2">
              <w:t>ā</w:t>
            </w:r>
            <w:r w:rsidRPr="008F30B2">
              <w:t xml:space="preserve"> </w:t>
            </w:r>
            <w:r w:rsidR="00942644" w:rsidRPr="008F30B2">
              <w:t xml:space="preserve">netiek </w:t>
            </w:r>
            <w:r w:rsidRPr="008F30B2">
              <w:t>paredz</w:t>
            </w:r>
            <w:r w:rsidR="00942644" w:rsidRPr="008F30B2">
              <w:t xml:space="preserve">ēts lielāks </w:t>
            </w:r>
            <w:r w:rsidRPr="008F30B2">
              <w:t>azartspēļu nodevas un nodokļa likmju paaugstinājum</w:t>
            </w:r>
            <w:r w:rsidR="00942644" w:rsidRPr="008F30B2">
              <w:t>s, jo azartspēļu organizētājiem</w:t>
            </w:r>
            <w:r w:rsidR="00EC5ABB" w:rsidRPr="008F30B2">
              <w:t xml:space="preserve"> līdz 2019.gadam</w:t>
            </w:r>
            <w:r w:rsidR="00942644" w:rsidRPr="008F30B2">
              <w:t xml:space="preserve"> ir nepieciešams uzkrāt līdzekļus azartspēļu automātu saslēgšanai vienotā tīklā</w:t>
            </w:r>
            <w:r w:rsidR="00EC5ABB" w:rsidRPr="008F30B2">
              <w:t xml:space="preserve"> un vienlaicīgi ar vienotā tīkla ieviešanu ir jāveic tīklā nesavietojamo iekārtu nomaiņa, kas prasa būtiskus papildu resursus nozares uzņēmumiem</w:t>
            </w:r>
            <w:r w:rsidR="00942644" w:rsidRPr="008F30B2">
              <w:t>.</w:t>
            </w:r>
          </w:p>
          <w:p w:rsidR="00310F25" w:rsidRPr="008F30B2" w:rsidRDefault="00243A99" w:rsidP="00AE420C">
            <w:pPr>
              <w:pStyle w:val="tv213"/>
              <w:shd w:val="clear" w:color="auto" w:fill="FFFFFF"/>
              <w:spacing w:before="0" w:beforeAutospacing="0" w:after="0" w:afterAutospacing="0"/>
              <w:jc w:val="both"/>
            </w:pPr>
            <w:r w:rsidRPr="008F30B2">
              <w:t>Likumprojektā paredzēts, ka likums stāsies spēkā 2016.gada 1.janvārī.</w:t>
            </w:r>
            <w:r w:rsidR="00942644" w:rsidRPr="008F30B2">
              <w:t xml:space="preserve"> </w:t>
            </w:r>
          </w:p>
          <w:p w:rsidR="00AB4559" w:rsidRPr="008F30B2" w:rsidRDefault="00225F18" w:rsidP="00985AF6">
            <w:pPr>
              <w:pStyle w:val="tv213"/>
              <w:shd w:val="clear" w:color="auto" w:fill="FFFFFF"/>
              <w:spacing w:before="0" w:beforeAutospacing="0" w:after="0" w:afterAutospacing="0"/>
              <w:jc w:val="both"/>
            </w:pPr>
            <w:r w:rsidRPr="008F30B2">
              <w:t xml:space="preserve">Ņemot vērā to, ka tiek plānots, ka </w:t>
            </w:r>
            <w:r w:rsidR="00C122A2" w:rsidRPr="008F30B2">
              <w:t xml:space="preserve">likumprojektu pakete                      (likumprojekts </w:t>
            </w:r>
            <w:r w:rsidR="00AD6568" w:rsidRPr="008F30B2">
              <w:t>“</w:t>
            </w:r>
            <w:r w:rsidR="00C122A2" w:rsidRPr="008F30B2">
              <w:t>Azartspēļu un izložu likums</w:t>
            </w:r>
            <w:r w:rsidR="00682D33" w:rsidRPr="008F30B2">
              <w:t>”</w:t>
            </w:r>
            <w:r w:rsidR="00C122A2" w:rsidRPr="008F30B2">
              <w:t xml:space="preserve">, likumprojekts </w:t>
            </w:r>
            <w:r w:rsidR="00AD6568" w:rsidRPr="008F30B2">
              <w:t>“</w:t>
            </w:r>
            <w:r w:rsidR="00C122A2" w:rsidRPr="008F30B2">
              <w:t xml:space="preserve">Azartspēļu un izložu nodokļa un nodevas likums” un likumprojekts </w:t>
            </w:r>
            <w:r w:rsidR="00AD6568" w:rsidRPr="008F30B2">
              <w:t>“</w:t>
            </w:r>
            <w:r w:rsidR="00C122A2" w:rsidRPr="008F30B2">
              <w:t>Grozījumi Latvijas Administratīvo pārkāpuma kodeksā”</w:t>
            </w:r>
            <w:r w:rsidR="00310F25" w:rsidRPr="008F30B2">
              <w:t>)</w:t>
            </w:r>
            <w:r w:rsidR="00C122A2" w:rsidRPr="008F30B2">
              <w:t xml:space="preserve"> tiks pieņemt</w:t>
            </w:r>
            <w:r w:rsidR="00310F25" w:rsidRPr="008F30B2">
              <w:t>a</w:t>
            </w:r>
            <w:r w:rsidR="00C122A2" w:rsidRPr="008F30B2">
              <w:t xml:space="preserve"> Saeimā un </w:t>
            </w:r>
            <w:r w:rsidR="00310F25" w:rsidRPr="008F30B2">
              <w:t xml:space="preserve">likumprojekti </w:t>
            </w:r>
            <w:r w:rsidR="00C122A2" w:rsidRPr="008F30B2">
              <w:t>stāsies spēkā ar 2017.gada 1.janvāri, Likumprojektā azartspēļu nodokļa un nodevas likmju pieaugums tiek paredzēts vienam gadam, t.i.,  2016.gadam.</w:t>
            </w:r>
            <w:r w:rsidR="00AB4559" w:rsidRPr="008F30B2">
              <w:rPr>
                <w:i/>
              </w:rPr>
              <w:t xml:space="preserve"> </w:t>
            </w:r>
          </w:p>
        </w:tc>
      </w:tr>
      <w:tr w:rsidR="008F2155" w:rsidRPr="008F30B2" w:rsidTr="00AD6568">
        <w:trPr>
          <w:trHeight w:val="476"/>
        </w:trPr>
        <w:tc>
          <w:tcPr>
            <w:tcW w:w="414" w:type="dxa"/>
          </w:tcPr>
          <w:p w:rsidR="00262E2B" w:rsidRPr="008F30B2" w:rsidRDefault="003A3C61" w:rsidP="00931BCC">
            <w:pPr>
              <w:pStyle w:val="naiskr"/>
              <w:spacing w:before="0" w:after="0"/>
              <w:jc w:val="center"/>
            </w:pPr>
            <w:r w:rsidRPr="008F30B2">
              <w:lastRenderedPageBreak/>
              <w:t>3</w:t>
            </w:r>
            <w:r w:rsidR="00262E2B" w:rsidRPr="008F30B2">
              <w:t>.</w:t>
            </w:r>
          </w:p>
        </w:tc>
        <w:tc>
          <w:tcPr>
            <w:tcW w:w="3024" w:type="dxa"/>
          </w:tcPr>
          <w:p w:rsidR="00262E2B" w:rsidRPr="008F30B2" w:rsidRDefault="001A4066" w:rsidP="00931BCC">
            <w:pPr>
              <w:pStyle w:val="naiskr"/>
              <w:spacing w:before="0" w:after="60"/>
            </w:pPr>
            <w:r w:rsidRPr="008F30B2">
              <w:t>Projekta i</w:t>
            </w:r>
            <w:r w:rsidR="00262E2B" w:rsidRPr="008F30B2">
              <w:t>zstrād</w:t>
            </w:r>
            <w:r w:rsidR="00420870" w:rsidRPr="008F30B2">
              <w:t xml:space="preserve">ē </w:t>
            </w:r>
            <w:r w:rsidR="00262E2B" w:rsidRPr="008F30B2">
              <w:t>iesaistītās institūcijas</w:t>
            </w:r>
          </w:p>
        </w:tc>
        <w:tc>
          <w:tcPr>
            <w:tcW w:w="5771" w:type="dxa"/>
          </w:tcPr>
          <w:p w:rsidR="009C5659" w:rsidRPr="008F30B2" w:rsidRDefault="00A6070A" w:rsidP="00985AF6">
            <w:pPr>
              <w:pStyle w:val="naiskr"/>
              <w:spacing w:before="0" w:after="0"/>
              <w:jc w:val="both"/>
            </w:pPr>
            <w:r w:rsidRPr="008F30B2">
              <w:rPr>
                <w:iCs/>
              </w:rPr>
              <w:t>Izložu un azartspēļu uzraudzības inspekcija</w:t>
            </w:r>
            <w:r w:rsidR="002F063B" w:rsidRPr="008F30B2">
              <w:rPr>
                <w:iCs/>
              </w:rPr>
              <w:t>, Valsts ieņēmumu dienests</w:t>
            </w:r>
            <w:r w:rsidRPr="008F30B2">
              <w:rPr>
                <w:iCs/>
              </w:rPr>
              <w:t>.</w:t>
            </w:r>
            <w:r w:rsidR="00FE58D5" w:rsidRPr="008F30B2" w:rsidDel="00FE58D5">
              <w:rPr>
                <w:iCs/>
              </w:rPr>
              <w:t xml:space="preserve"> </w:t>
            </w:r>
          </w:p>
        </w:tc>
      </w:tr>
      <w:tr w:rsidR="008F2155" w:rsidRPr="008F30B2" w:rsidTr="00AD6568">
        <w:tc>
          <w:tcPr>
            <w:tcW w:w="414" w:type="dxa"/>
          </w:tcPr>
          <w:p w:rsidR="00262E2B" w:rsidRPr="008F30B2" w:rsidRDefault="003A3C61" w:rsidP="00931BCC">
            <w:pPr>
              <w:pStyle w:val="naiskr"/>
              <w:spacing w:before="0" w:after="0"/>
              <w:jc w:val="center"/>
            </w:pPr>
            <w:r w:rsidRPr="008F30B2">
              <w:t>4</w:t>
            </w:r>
            <w:r w:rsidR="00262E2B" w:rsidRPr="008F30B2">
              <w:t>.</w:t>
            </w:r>
          </w:p>
        </w:tc>
        <w:tc>
          <w:tcPr>
            <w:tcW w:w="3024" w:type="dxa"/>
          </w:tcPr>
          <w:p w:rsidR="00262E2B" w:rsidRPr="008F30B2" w:rsidRDefault="00262E2B" w:rsidP="00931BCC">
            <w:pPr>
              <w:pStyle w:val="naiskr"/>
              <w:spacing w:before="0" w:after="0"/>
            </w:pPr>
            <w:r w:rsidRPr="008F30B2">
              <w:t>Cita informācija</w:t>
            </w:r>
          </w:p>
        </w:tc>
        <w:tc>
          <w:tcPr>
            <w:tcW w:w="5771" w:type="dxa"/>
          </w:tcPr>
          <w:p w:rsidR="004F3B5E" w:rsidRPr="008F30B2" w:rsidRDefault="004E6B86" w:rsidP="00931BCC">
            <w:pPr>
              <w:pStyle w:val="naiskr"/>
              <w:spacing w:before="0" w:after="120"/>
              <w:jc w:val="both"/>
            </w:pPr>
            <w:r w:rsidRPr="008F30B2">
              <w:t>Nav.</w:t>
            </w:r>
          </w:p>
        </w:tc>
      </w:tr>
    </w:tbl>
    <w:p w:rsidR="002E33E1" w:rsidRPr="008F30B2" w:rsidRDefault="002E33E1" w:rsidP="006D0922">
      <w:pPr>
        <w:pStyle w:val="naisf"/>
        <w:spacing w:before="0" w:after="0"/>
        <w:ind w:firstLine="0"/>
      </w:pPr>
    </w:p>
    <w:p w:rsidR="009D4EF6" w:rsidRPr="008F30B2" w:rsidRDefault="009D4EF6" w:rsidP="006D0922">
      <w:pPr>
        <w:pStyle w:val="naisf"/>
        <w:spacing w:before="0" w:after="0"/>
        <w:ind w:firstLine="0"/>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1"/>
        <w:gridCol w:w="3008"/>
        <w:gridCol w:w="5927"/>
      </w:tblGrid>
      <w:tr w:rsidR="008F2155" w:rsidRPr="008F30B2" w:rsidTr="00D173F7">
        <w:trPr>
          <w:jc w:val="center"/>
        </w:trPr>
        <w:tc>
          <w:tcPr>
            <w:tcW w:w="9356" w:type="dxa"/>
            <w:gridSpan w:val="3"/>
          </w:tcPr>
          <w:p w:rsidR="00FE4973" w:rsidRPr="008F30B2" w:rsidRDefault="00FE4973" w:rsidP="00097549">
            <w:pPr>
              <w:pStyle w:val="naisnod"/>
              <w:spacing w:before="0" w:after="60"/>
            </w:pPr>
            <w:r w:rsidRPr="008F30B2">
              <w:t>II.</w:t>
            </w:r>
            <w:r w:rsidRPr="008F30B2">
              <w:rPr>
                <w:bCs w:val="0"/>
              </w:rPr>
              <w:t xml:space="preserve"> Tiesību akta projekta ietekme uz sabiedrību, tautsaimniecības attīstību un administratīvo slogu</w:t>
            </w:r>
          </w:p>
        </w:tc>
      </w:tr>
      <w:tr w:rsidR="008F2155" w:rsidRPr="008F30B2" w:rsidTr="00D173F7">
        <w:trPr>
          <w:jc w:val="center"/>
        </w:trPr>
        <w:tc>
          <w:tcPr>
            <w:tcW w:w="421" w:type="dxa"/>
          </w:tcPr>
          <w:p w:rsidR="00FE4973" w:rsidRPr="008F30B2" w:rsidRDefault="00FE4973" w:rsidP="006D0922">
            <w:pPr>
              <w:pStyle w:val="naiskr"/>
              <w:tabs>
                <w:tab w:val="left" w:pos="2628"/>
              </w:tabs>
              <w:spacing w:before="0" w:after="0"/>
              <w:jc w:val="center"/>
              <w:rPr>
                <w:iCs/>
              </w:rPr>
            </w:pPr>
            <w:r w:rsidRPr="008F30B2">
              <w:rPr>
                <w:iCs/>
              </w:rPr>
              <w:t>1.</w:t>
            </w:r>
          </w:p>
        </w:tc>
        <w:tc>
          <w:tcPr>
            <w:tcW w:w="3008" w:type="dxa"/>
          </w:tcPr>
          <w:p w:rsidR="00FE4973" w:rsidRPr="008F30B2" w:rsidRDefault="00FE4973" w:rsidP="006D0922">
            <w:pPr>
              <w:pStyle w:val="naiskr"/>
              <w:spacing w:before="0" w:after="0"/>
              <w:rPr>
                <w:iCs/>
              </w:rPr>
            </w:pPr>
            <w:r w:rsidRPr="008F30B2">
              <w:t>Sabiedrības mērķgrupas, kuras tiesiskais regulējums ietekmē vai varētu ietekmēt</w:t>
            </w:r>
          </w:p>
        </w:tc>
        <w:tc>
          <w:tcPr>
            <w:tcW w:w="5927" w:type="dxa"/>
          </w:tcPr>
          <w:p w:rsidR="002D4309" w:rsidRPr="008F30B2" w:rsidRDefault="002C06D0" w:rsidP="00FE55F3">
            <w:pPr>
              <w:pStyle w:val="naiskr"/>
              <w:tabs>
                <w:tab w:val="left" w:pos="2628"/>
              </w:tabs>
              <w:spacing w:before="0" w:after="120"/>
              <w:jc w:val="both"/>
            </w:pPr>
            <w:r w:rsidRPr="008F30B2">
              <w:t>Kapitālsabiedrības, kas organizē azartspēles</w:t>
            </w:r>
            <w:r w:rsidR="00816A08" w:rsidRPr="008F30B2">
              <w:t>.</w:t>
            </w:r>
            <w:r w:rsidRPr="008F30B2">
              <w:t xml:space="preserve"> </w:t>
            </w:r>
            <w:r w:rsidR="005F6B10" w:rsidRPr="008F30B2">
              <w:t xml:space="preserve">Pašlaik Latvijā azartspēles organizē </w:t>
            </w:r>
            <w:r w:rsidR="009B6C8A" w:rsidRPr="008F30B2">
              <w:t xml:space="preserve">15 </w:t>
            </w:r>
            <w:r w:rsidR="005F6B10" w:rsidRPr="008F30B2">
              <w:t>azartspēļu organizētāji.</w:t>
            </w:r>
            <w:r w:rsidR="00FE55F3" w:rsidRPr="008F30B2">
              <w:t xml:space="preserve"> Azartspēļu spēlētāji un to ģimenes locekļi.</w:t>
            </w:r>
          </w:p>
        </w:tc>
      </w:tr>
      <w:tr w:rsidR="008F2155" w:rsidRPr="008F30B2" w:rsidTr="00D173F7">
        <w:trPr>
          <w:jc w:val="center"/>
        </w:trPr>
        <w:tc>
          <w:tcPr>
            <w:tcW w:w="421" w:type="dxa"/>
          </w:tcPr>
          <w:p w:rsidR="00FE4973" w:rsidRPr="008F30B2" w:rsidRDefault="00FE4973" w:rsidP="006D0922">
            <w:pPr>
              <w:pStyle w:val="naiskr"/>
              <w:tabs>
                <w:tab w:val="left" w:pos="2628"/>
              </w:tabs>
              <w:spacing w:before="0" w:after="0"/>
              <w:jc w:val="center"/>
              <w:rPr>
                <w:iCs/>
              </w:rPr>
            </w:pPr>
            <w:r w:rsidRPr="008F30B2">
              <w:rPr>
                <w:iCs/>
              </w:rPr>
              <w:t>2.</w:t>
            </w:r>
          </w:p>
        </w:tc>
        <w:tc>
          <w:tcPr>
            <w:tcW w:w="3008" w:type="dxa"/>
          </w:tcPr>
          <w:p w:rsidR="00FE4973" w:rsidRPr="008F30B2" w:rsidRDefault="00FE4973" w:rsidP="006D0922">
            <w:pPr>
              <w:pStyle w:val="naiskr"/>
              <w:spacing w:before="0" w:after="0"/>
            </w:pPr>
            <w:r w:rsidRPr="008F30B2">
              <w:t>Tiesiskā regulējuma ietekme uz tautsaimniecību un administratīvo slogu</w:t>
            </w:r>
          </w:p>
        </w:tc>
        <w:tc>
          <w:tcPr>
            <w:tcW w:w="5927" w:type="dxa"/>
          </w:tcPr>
          <w:p w:rsidR="00F5161D" w:rsidRPr="008F30B2" w:rsidRDefault="00FE55F3" w:rsidP="00E5258E">
            <w:pPr>
              <w:pStyle w:val="naiskr"/>
              <w:tabs>
                <w:tab w:val="left" w:pos="2628"/>
              </w:tabs>
              <w:spacing w:before="0" w:after="0"/>
              <w:jc w:val="both"/>
            </w:pPr>
            <w:r w:rsidRPr="008F30B2">
              <w:t>Likumprojekts paredz palielināt</w:t>
            </w:r>
            <w:r w:rsidR="00F5161D" w:rsidRPr="008F30B2">
              <w:t xml:space="preserve"> </w:t>
            </w:r>
            <w:r w:rsidR="00E5258E" w:rsidRPr="008F30B2">
              <w:t xml:space="preserve">par </w:t>
            </w:r>
            <w:r w:rsidR="00497099" w:rsidRPr="008F30B2">
              <w:t>4 līdz 5,41</w:t>
            </w:r>
            <w:r w:rsidR="00497099" w:rsidRPr="008F30B2">
              <w:rPr>
                <w:iCs/>
                <w:color w:val="000000"/>
              </w:rPr>
              <w:t>%</w:t>
            </w:r>
            <w:r w:rsidR="00497099" w:rsidRPr="008F30B2">
              <w:t xml:space="preserve"> </w:t>
            </w:r>
            <w:r w:rsidRPr="008F30B2">
              <w:t xml:space="preserve">iekasējamās </w:t>
            </w:r>
            <w:r w:rsidR="00497099" w:rsidRPr="008F30B2">
              <w:t>azartspēļu</w:t>
            </w:r>
            <w:r w:rsidRPr="008F30B2">
              <w:t xml:space="preserve"> nodevas apmēru</w:t>
            </w:r>
            <w:r w:rsidR="00F5161D" w:rsidRPr="008F30B2">
              <w:t>:</w:t>
            </w:r>
          </w:p>
          <w:p w:rsidR="00F5161D" w:rsidRPr="008F30B2" w:rsidRDefault="00F5161D" w:rsidP="00E5258E">
            <w:pPr>
              <w:jc w:val="both"/>
            </w:pPr>
            <w:r w:rsidRPr="008F30B2">
              <w:t>1) spēļu automātu, bingo, ruletes, kāršu un kauliņu spēles organizēšanai un uzturēšanai:</w:t>
            </w:r>
          </w:p>
          <w:p w:rsidR="00F5161D" w:rsidRPr="008F30B2" w:rsidRDefault="00F5161D" w:rsidP="00E5258E">
            <w:pPr>
              <w:pStyle w:val="ListParagraph"/>
              <w:ind w:left="0"/>
              <w:jc w:val="both"/>
            </w:pPr>
            <w:r w:rsidRPr="008F30B2">
              <w:rPr>
                <w:lang w:val="lv-LV"/>
              </w:rPr>
              <w:t xml:space="preserve">- </w:t>
            </w:r>
            <w:r w:rsidRPr="008F30B2">
              <w:t>par licences pagarināšanu, ikgadējo pārreģistrāciju (par katru kārtējo gadu);</w:t>
            </w:r>
          </w:p>
          <w:p w:rsidR="00F5161D" w:rsidRPr="008F30B2" w:rsidRDefault="00F5161D" w:rsidP="00E5258E">
            <w:pPr>
              <w:jc w:val="both"/>
            </w:pPr>
            <w:r w:rsidRPr="008F30B2">
              <w:t>- par kazino atvēršanas licenci (par katru kārtējo gadu);</w:t>
            </w:r>
          </w:p>
          <w:p w:rsidR="00F5161D" w:rsidRPr="008F30B2" w:rsidRDefault="00F5161D" w:rsidP="00E5258E">
            <w:pPr>
              <w:jc w:val="both"/>
            </w:pPr>
            <w:r w:rsidRPr="008F30B2">
              <w:t xml:space="preserve">- </w:t>
            </w:r>
            <w:r w:rsidRPr="008F30B2">
              <w:rPr>
                <w:shd w:val="clear" w:color="auto" w:fill="FFFFFF"/>
              </w:rPr>
              <w:t>par spēļu zāles vai bingo zāles atvēršanas licenci  (par katru kārtējo gadu);</w:t>
            </w:r>
          </w:p>
          <w:p w:rsidR="00F5161D" w:rsidRPr="008F30B2" w:rsidRDefault="00F5161D" w:rsidP="00E5258E">
            <w:pPr>
              <w:jc w:val="both"/>
            </w:pPr>
            <w:r w:rsidRPr="008F30B2">
              <w:t>2) totalizatora vai derību organizēšanai un uzturēšanai: par licences izsniegšanu, pagarināšanu, ikgadējo pārreģistrāciju (par katru kārtējo gadu);</w:t>
            </w:r>
          </w:p>
          <w:p w:rsidR="00F5161D" w:rsidRPr="008F30B2" w:rsidRDefault="00F5161D" w:rsidP="00E5258E">
            <w:pPr>
              <w:jc w:val="both"/>
            </w:pPr>
            <w:r w:rsidRPr="008F30B2">
              <w:t>3) veiksmes spēles pa tālruni  organizēšanai un uzturēšanai:  par licences izsniegšanu, pagarināšanu, ikgadējo pārreģistrāciju (par katru kārtējo gadu).</w:t>
            </w:r>
          </w:p>
          <w:p w:rsidR="002D4309" w:rsidRPr="008F30B2" w:rsidRDefault="00E5258E">
            <w:pPr>
              <w:pStyle w:val="naiskr"/>
              <w:tabs>
                <w:tab w:val="left" w:pos="2628"/>
              </w:tabs>
              <w:spacing w:before="0" w:after="0"/>
              <w:jc w:val="both"/>
            </w:pPr>
            <w:r w:rsidRPr="008F30B2">
              <w:t xml:space="preserve">Likumprojekts paredz palielināt par </w:t>
            </w:r>
            <w:r w:rsidR="00497099" w:rsidRPr="008F30B2">
              <w:t>4,2 līdz 5,06%</w:t>
            </w:r>
            <w:r w:rsidRPr="008F30B2">
              <w:t xml:space="preserve"> azartspēļu nodokļa apmēru ruletei, kāršu un kauliņu  spēlēm, </w:t>
            </w:r>
            <w:r w:rsidRPr="008F30B2">
              <w:rPr>
                <w:iCs/>
                <w:shd w:val="clear" w:color="auto" w:fill="FFFFFF"/>
              </w:rPr>
              <w:t xml:space="preserve">videospēlēm un </w:t>
            </w:r>
            <w:r w:rsidRPr="008F30B2">
              <w:t xml:space="preserve"> mehāniskajiem automātiem.</w:t>
            </w:r>
          </w:p>
          <w:p w:rsidR="00EC5ABB" w:rsidRPr="008F30B2" w:rsidRDefault="00EC5ABB" w:rsidP="00DE7906">
            <w:pPr>
              <w:pStyle w:val="naiskr"/>
              <w:tabs>
                <w:tab w:val="left" w:pos="2628"/>
              </w:tabs>
              <w:spacing w:before="0" w:after="0"/>
              <w:jc w:val="both"/>
            </w:pPr>
            <w:r w:rsidRPr="008F30B2">
              <w:t xml:space="preserve">Nozares uzņēmumiem, palielinot </w:t>
            </w:r>
            <w:r w:rsidR="00DE7906" w:rsidRPr="008F30B2">
              <w:t xml:space="preserve">azartspēļu </w:t>
            </w:r>
            <w:r w:rsidRPr="008F30B2">
              <w:t>nodokļ</w:t>
            </w:r>
            <w:r w:rsidR="00DE7906" w:rsidRPr="008F30B2">
              <w:t>a</w:t>
            </w:r>
            <w:r w:rsidRPr="008F30B2">
              <w:t xml:space="preserve"> un nodev</w:t>
            </w:r>
            <w:r w:rsidR="00DE7906" w:rsidRPr="008F30B2">
              <w:t>as likmju</w:t>
            </w:r>
            <w:r w:rsidRPr="008F30B2">
              <w:t xml:space="preserve"> apmēru, administratīvais slogs nepalielinās. </w:t>
            </w:r>
          </w:p>
        </w:tc>
      </w:tr>
      <w:tr w:rsidR="008F2155" w:rsidRPr="008F30B2" w:rsidTr="00D173F7">
        <w:trPr>
          <w:jc w:val="center"/>
        </w:trPr>
        <w:tc>
          <w:tcPr>
            <w:tcW w:w="421" w:type="dxa"/>
          </w:tcPr>
          <w:p w:rsidR="00FE4973" w:rsidRPr="008F30B2" w:rsidRDefault="00FE4973" w:rsidP="006D0922">
            <w:pPr>
              <w:pStyle w:val="naiskr"/>
              <w:tabs>
                <w:tab w:val="left" w:pos="2628"/>
              </w:tabs>
              <w:spacing w:before="0" w:after="0"/>
              <w:jc w:val="center"/>
              <w:rPr>
                <w:iCs/>
              </w:rPr>
            </w:pPr>
            <w:r w:rsidRPr="008F30B2">
              <w:rPr>
                <w:iCs/>
              </w:rPr>
              <w:t>3.</w:t>
            </w:r>
          </w:p>
        </w:tc>
        <w:tc>
          <w:tcPr>
            <w:tcW w:w="3008" w:type="dxa"/>
          </w:tcPr>
          <w:p w:rsidR="00FE4973" w:rsidRPr="008F30B2" w:rsidRDefault="00FE4973" w:rsidP="006D0922">
            <w:pPr>
              <w:pStyle w:val="naiskr"/>
              <w:tabs>
                <w:tab w:val="left" w:pos="2628"/>
              </w:tabs>
              <w:spacing w:before="0" w:after="0"/>
              <w:rPr>
                <w:iCs/>
              </w:rPr>
            </w:pPr>
            <w:r w:rsidRPr="008F30B2">
              <w:t>Administratīvo izmaksu monetārs novērtējums</w:t>
            </w:r>
          </w:p>
        </w:tc>
        <w:tc>
          <w:tcPr>
            <w:tcW w:w="5927" w:type="dxa"/>
          </w:tcPr>
          <w:p w:rsidR="00FE4973" w:rsidRPr="008F30B2" w:rsidRDefault="00303F8C" w:rsidP="00506F1D">
            <w:pPr>
              <w:pStyle w:val="naiskr"/>
              <w:tabs>
                <w:tab w:val="left" w:pos="2628"/>
              </w:tabs>
              <w:spacing w:before="0" w:after="120"/>
              <w:jc w:val="both"/>
              <w:rPr>
                <w:iCs/>
              </w:rPr>
            </w:pPr>
            <w:r w:rsidRPr="008F30B2">
              <w:rPr>
                <w:iCs/>
              </w:rPr>
              <w:t>Projekts šo jomu neskar.</w:t>
            </w:r>
          </w:p>
        </w:tc>
      </w:tr>
      <w:tr w:rsidR="009A0027" w:rsidRPr="008F30B2" w:rsidTr="00D173F7">
        <w:trPr>
          <w:jc w:val="center"/>
        </w:trPr>
        <w:tc>
          <w:tcPr>
            <w:tcW w:w="421" w:type="dxa"/>
          </w:tcPr>
          <w:p w:rsidR="00FE4973" w:rsidRPr="008F30B2" w:rsidRDefault="00FE4973" w:rsidP="006D0922">
            <w:pPr>
              <w:pStyle w:val="naiskr"/>
              <w:tabs>
                <w:tab w:val="left" w:pos="2628"/>
              </w:tabs>
              <w:spacing w:before="0" w:after="0"/>
              <w:jc w:val="center"/>
              <w:rPr>
                <w:iCs/>
              </w:rPr>
            </w:pPr>
            <w:r w:rsidRPr="008F30B2">
              <w:rPr>
                <w:iCs/>
              </w:rPr>
              <w:t>4.</w:t>
            </w:r>
          </w:p>
        </w:tc>
        <w:tc>
          <w:tcPr>
            <w:tcW w:w="3008" w:type="dxa"/>
          </w:tcPr>
          <w:p w:rsidR="00FE4973" w:rsidRPr="008F30B2" w:rsidRDefault="00FE4973" w:rsidP="006D0922">
            <w:pPr>
              <w:pStyle w:val="naiskr"/>
              <w:tabs>
                <w:tab w:val="left" w:pos="2628"/>
              </w:tabs>
              <w:spacing w:before="0" w:after="0"/>
            </w:pPr>
            <w:r w:rsidRPr="008F30B2">
              <w:t>Cita informācija</w:t>
            </w:r>
          </w:p>
        </w:tc>
        <w:tc>
          <w:tcPr>
            <w:tcW w:w="5927" w:type="dxa"/>
          </w:tcPr>
          <w:p w:rsidR="00FE4973" w:rsidRPr="008F30B2" w:rsidRDefault="00F64A42" w:rsidP="00506F1D">
            <w:pPr>
              <w:pStyle w:val="naiskr"/>
              <w:tabs>
                <w:tab w:val="left" w:pos="2628"/>
              </w:tabs>
              <w:spacing w:before="0" w:after="120"/>
              <w:jc w:val="both"/>
            </w:pPr>
            <w:r w:rsidRPr="008F30B2">
              <w:t>Nav.</w:t>
            </w:r>
          </w:p>
        </w:tc>
      </w:tr>
    </w:tbl>
    <w:p w:rsidR="00D173F7" w:rsidRPr="008F30B2" w:rsidRDefault="00D173F7" w:rsidP="003F16C5">
      <w:pPr>
        <w:pStyle w:val="naisf"/>
        <w:spacing w:before="0" w:after="0"/>
        <w:ind w:firstLine="0"/>
      </w:pPr>
    </w:p>
    <w:p w:rsidR="001734BD" w:rsidRPr="008F30B2" w:rsidRDefault="001734BD" w:rsidP="003F16C5">
      <w:pPr>
        <w:pStyle w:val="naisf"/>
        <w:spacing w:before="0" w:after="0"/>
        <w:ind w:firstLine="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296"/>
        <w:gridCol w:w="1150"/>
        <w:gridCol w:w="1551"/>
        <w:gridCol w:w="1552"/>
        <w:gridCol w:w="1614"/>
      </w:tblGrid>
      <w:tr w:rsidR="001734BD" w:rsidRPr="008F30B2" w:rsidTr="001734BD">
        <w:trPr>
          <w:trHeight w:val="447"/>
          <w:jc w:val="center"/>
        </w:trPr>
        <w:tc>
          <w:tcPr>
            <w:tcW w:w="9351" w:type="dxa"/>
            <w:gridSpan w:val="6"/>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bCs/>
              </w:rPr>
            </w:pPr>
            <w:r w:rsidRPr="008F30B2">
              <w:rPr>
                <w:b/>
                <w:bCs/>
              </w:rPr>
              <w:br w:type="page"/>
              <w:t>III. Tiesību akta projekta ietekme uz valsts budžetu un pašvaldību budžetiem</w:t>
            </w:r>
          </w:p>
        </w:tc>
      </w:tr>
      <w:tr w:rsidR="001734BD" w:rsidRPr="008F30B2" w:rsidTr="001734BD">
        <w:trPr>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rPr>
            </w:pPr>
            <w:r w:rsidRPr="008F30B2">
              <w:rPr>
                <w:b/>
              </w:rPr>
              <w:t>Rādītāji</w:t>
            </w:r>
          </w:p>
        </w:tc>
        <w:tc>
          <w:tcPr>
            <w:tcW w:w="22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rPr>
            </w:pPr>
            <w:r w:rsidRPr="008F30B2">
              <w:rPr>
                <w:b/>
              </w:rPr>
              <w:t>2015</w:t>
            </w:r>
          </w:p>
        </w:tc>
        <w:tc>
          <w:tcPr>
            <w:tcW w:w="4888" w:type="dxa"/>
            <w:gridSpan w:val="3"/>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i/>
              </w:rPr>
            </w:pPr>
            <w:r w:rsidRPr="008F30B2">
              <w:t>Turpmākie trīs gadi (</w:t>
            </w:r>
            <w:r w:rsidRPr="008F30B2">
              <w:rPr>
                <w:i/>
              </w:rPr>
              <w:t>euro</w:t>
            </w:r>
            <w:r w:rsidRPr="008F30B2">
              <w:t>)</w:t>
            </w:r>
          </w:p>
        </w:tc>
      </w:tr>
      <w:tr w:rsidR="001734BD" w:rsidRPr="008F30B2" w:rsidTr="001734BD">
        <w:trPr>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rPr>
                <w:b/>
              </w:rPr>
            </w:pPr>
          </w:p>
        </w:tc>
        <w:tc>
          <w:tcPr>
            <w:tcW w:w="2202" w:type="dxa"/>
            <w:gridSpan w:val="2"/>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rPr>
                <w:b/>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i/>
              </w:rPr>
            </w:pPr>
            <w:r w:rsidRPr="008F30B2">
              <w:rPr>
                <w:b/>
                <w:bCs/>
              </w:rPr>
              <w:t>2016</w:t>
            </w:r>
          </w:p>
        </w:tc>
        <w:tc>
          <w:tcPr>
            <w:tcW w:w="1606"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rPr>
            </w:pPr>
            <w:r w:rsidRPr="008F30B2">
              <w:rPr>
                <w:b/>
              </w:rPr>
              <w:t>2017</w:t>
            </w:r>
          </w:p>
        </w:tc>
        <w:tc>
          <w:tcPr>
            <w:tcW w:w="1677"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rPr>
            </w:pPr>
            <w:r w:rsidRPr="008F30B2">
              <w:rPr>
                <w:b/>
              </w:rPr>
              <w:t>2018</w:t>
            </w:r>
          </w:p>
        </w:tc>
      </w:tr>
      <w:tr w:rsidR="001734BD" w:rsidRPr="008F30B2" w:rsidTr="001734BD">
        <w:trPr>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rPr>
                <w:b/>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i/>
              </w:rPr>
            </w:pPr>
            <w:r w:rsidRPr="008F30B2">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i/>
              </w:rPr>
            </w:pPr>
            <w:r w:rsidRPr="008F30B2">
              <w:t>Izmaiņas kārtējā gadā, salīdzinot ar budžetu kārtējam gadam</w:t>
            </w:r>
          </w:p>
        </w:tc>
        <w:tc>
          <w:tcPr>
            <w:tcW w:w="1605"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i/>
              </w:rPr>
            </w:pPr>
            <w:r w:rsidRPr="008F30B2">
              <w:t>Izmaiņas, salīdzinot ar kārtējo (n) gadu</w:t>
            </w:r>
          </w:p>
        </w:tc>
        <w:tc>
          <w:tcPr>
            <w:tcW w:w="1606"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i/>
              </w:rPr>
            </w:pPr>
            <w:r w:rsidRPr="008F30B2">
              <w:t>Izmaiņas, salīdzinot ar kārtējo (n) gadu</w:t>
            </w:r>
          </w:p>
        </w:tc>
        <w:tc>
          <w:tcPr>
            <w:tcW w:w="1677"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
                <w:i/>
              </w:rPr>
            </w:pPr>
            <w:r w:rsidRPr="008F30B2">
              <w:t>Izmaiņas, salīdzinot ar kārtējo (n) gadu</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Cs/>
              </w:rPr>
            </w:pPr>
            <w:r w:rsidRPr="008F30B2">
              <w:rPr>
                <w:bCs/>
              </w:rPr>
              <w:t>1</w:t>
            </w:r>
          </w:p>
        </w:tc>
        <w:tc>
          <w:tcPr>
            <w:tcW w:w="1052"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Cs/>
              </w:rPr>
            </w:pPr>
            <w:r w:rsidRPr="008F30B2">
              <w:rPr>
                <w:bCs/>
              </w:rPr>
              <w:t>2</w:t>
            </w:r>
          </w:p>
        </w:tc>
        <w:tc>
          <w:tcPr>
            <w:tcW w:w="1150"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Cs/>
              </w:rPr>
            </w:pPr>
            <w:r w:rsidRPr="008F30B2">
              <w:rPr>
                <w:bCs/>
              </w:rPr>
              <w:t>3</w:t>
            </w:r>
          </w:p>
        </w:tc>
        <w:tc>
          <w:tcPr>
            <w:tcW w:w="1605"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Cs/>
              </w:rPr>
            </w:pPr>
            <w:r w:rsidRPr="008F30B2">
              <w:rPr>
                <w:bCs/>
              </w:rPr>
              <w:t>4</w:t>
            </w:r>
          </w:p>
        </w:tc>
        <w:tc>
          <w:tcPr>
            <w:tcW w:w="1606"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Cs/>
              </w:rPr>
            </w:pPr>
            <w:r w:rsidRPr="008F30B2">
              <w:rPr>
                <w:bCs/>
              </w:rPr>
              <w:t>5</w:t>
            </w:r>
          </w:p>
        </w:tc>
        <w:tc>
          <w:tcPr>
            <w:tcW w:w="1677" w:type="dxa"/>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jc w:val="center"/>
              <w:rPr>
                <w:bCs/>
              </w:rPr>
            </w:pPr>
            <w:r w:rsidRPr="008F30B2">
              <w:rPr>
                <w:bCs/>
              </w:rPr>
              <w:t>6</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rPr>
                <w:b/>
                <w:i/>
              </w:rPr>
            </w:pPr>
            <w:r w:rsidRPr="008F30B2">
              <w:rPr>
                <w:b/>
              </w:rPr>
              <w:lastRenderedPageBreak/>
              <w:t>1. Budžeta ieņēmumi:</w:t>
            </w: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33 112 326</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1 364 340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1 332 340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1 302 340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tcPr>
          <w:p w:rsidR="001734BD" w:rsidRPr="008F30B2" w:rsidRDefault="001734BD">
            <w:pPr>
              <w:spacing w:before="100" w:beforeAutospacing="1" w:after="100" w:afterAutospacing="1"/>
              <w:ind w:hanging="5"/>
              <w:jc w:val="right"/>
              <w:rPr>
                <w:i/>
                <w:color w:val="000000"/>
              </w:rPr>
            </w:pPr>
            <w:r w:rsidRPr="008F30B2">
              <w:rPr>
                <w:i/>
                <w:color w:val="000000"/>
              </w:rPr>
              <w:t>t.sk., azartspēļu un izložu nodoklis</w:t>
            </w:r>
          </w:p>
          <w:p w:rsidR="001734BD" w:rsidRPr="008F30B2" w:rsidRDefault="001734BD">
            <w:pPr>
              <w:jc w:val="both"/>
            </w:pP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30 756 856</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1 403 000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1 408 000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1 415 000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tcPr>
          <w:p w:rsidR="001734BD" w:rsidRPr="008F30B2" w:rsidRDefault="001734BD">
            <w:pPr>
              <w:spacing w:before="100" w:beforeAutospacing="1" w:after="100" w:afterAutospacing="1"/>
              <w:ind w:hanging="5"/>
              <w:jc w:val="right"/>
              <w:rPr>
                <w:i/>
                <w:color w:val="000000"/>
              </w:rPr>
            </w:pPr>
            <w:r w:rsidRPr="008F30B2">
              <w:rPr>
                <w:i/>
                <w:color w:val="000000"/>
              </w:rPr>
              <w:t xml:space="preserve">t.sk., </w:t>
            </w:r>
            <w:r w:rsidRPr="008F30B2">
              <w:rPr>
                <w:i/>
                <w:color w:val="000000"/>
                <w:sz w:val="22"/>
                <w:szCs w:val="22"/>
              </w:rPr>
              <w:t>izložu un azartspēļu nodeva</w:t>
            </w:r>
          </w:p>
          <w:p w:rsidR="001734BD" w:rsidRPr="008F30B2" w:rsidRDefault="001734BD">
            <w:pPr>
              <w:jc w:val="both"/>
            </w:pP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2 355 470</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 -38 660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 -75 660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 -112 660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rPr>
                <w:i/>
              </w:rPr>
            </w:pPr>
            <w:r w:rsidRPr="008F30B2">
              <w:t>1.1. valsts pamatbudžets, tai skaitā ieņēmumi no maksas pakalpo-jumiem un citi pašu ieņēmumi</w:t>
            </w: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25 995 612</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1 013 590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980 340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948 590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tcPr>
          <w:p w:rsidR="001734BD" w:rsidRPr="008F30B2" w:rsidRDefault="001734BD">
            <w:pPr>
              <w:spacing w:before="100" w:beforeAutospacing="1" w:after="100" w:afterAutospacing="1"/>
              <w:ind w:hanging="5"/>
              <w:jc w:val="right"/>
              <w:rPr>
                <w:i/>
                <w:color w:val="000000"/>
              </w:rPr>
            </w:pPr>
            <w:r w:rsidRPr="008F30B2">
              <w:rPr>
                <w:i/>
                <w:color w:val="000000"/>
              </w:rPr>
              <w:t>t.sk., azartspēļu un izložu nodoklis</w:t>
            </w:r>
          </w:p>
          <w:p w:rsidR="001734BD" w:rsidRPr="008F30B2" w:rsidRDefault="001734BD">
            <w:pPr>
              <w:jc w:val="both"/>
            </w:pP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23 640 142</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1 052 250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1 056 000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1 061 250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spacing w:before="100" w:beforeAutospacing="1" w:after="100" w:afterAutospacing="1"/>
              <w:ind w:hanging="5"/>
              <w:jc w:val="right"/>
              <w:rPr>
                <w:i/>
                <w:color w:val="000000"/>
                <w:sz w:val="22"/>
                <w:szCs w:val="22"/>
              </w:rPr>
            </w:pPr>
            <w:r w:rsidRPr="008F30B2">
              <w:rPr>
                <w:i/>
                <w:color w:val="000000"/>
              </w:rPr>
              <w:t xml:space="preserve">t.sk., </w:t>
            </w:r>
            <w:r w:rsidRPr="008F30B2">
              <w:rPr>
                <w:i/>
                <w:color w:val="000000"/>
                <w:sz w:val="22"/>
                <w:szCs w:val="22"/>
              </w:rPr>
              <w:t>izložu un azartspēļu nodeva</w:t>
            </w: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2 355 470</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-38 660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-75 660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-112 660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rPr>
                <w:i/>
              </w:rPr>
            </w:pPr>
            <w:r w:rsidRPr="008F30B2">
              <w:t>1.2. valsts speciālais budžets</w:t>
            </w:r>
          </w:p>
        </w:tc>
        <w:tc>
          <w:tcPr>
            <w:tcW w:w="1052"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rPr>
                <w:i/>
              </w:rPr>
            </w:pPr>
            <w:r w:rsidRPr="008F30B2">
              <w:t>1.3. pašvaldību budžets</w:t>
            </w: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7 116 714</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350 750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352 000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353 750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tcPr>
          <w:p w:rsidR="001734BD" w:rsidRPr="008F30B2" w:rsidRDefault="001734BD">
            <w:pPr>
              <w:spacing w:before="100" w:beforeAutospacing="1" w:after="100" w:afterAutospacing="1"/>
              <w:ind w:hanging="5"/>
              <w:jc w:val="right"/>
              <w:rPr>
                <w:i/>
                <w:color w:val="000000"/>
              </w:rPr>
            </w:pPr>
            <w:r w:rsidRPr="008F30B2">
              <w:rPr>
                <w:i/>
                <w:color w:val="000000"/>
              </w:rPr>
              <w:t>t.sk., azartspēļu un izložu nodoklis</w:t>
            </w:r>
          </w:p>
          <w:p w:rsidR="001734BD" w:rsidRPr="008F30B2" w:rsidRDefault="001734BD">
            <w:pPr>
              <w:jc w:val="both"/>
            </w:pP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7 116 714</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350 750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352 000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353 750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rPr>
                <w:b/>
              </w:rPr>
            </w:pPr>
            <w:r w:rsidRPr="008F30B2">
              <w:rPr>
                <w:b/>
              </w:rPr>
              <w:t>2. Budžeta izdevumi:</w:t>
            </w:r>
          </w:p>
        </w:tc>
        <w:tc>
          <w:tcPr>
            <w:tcW w:w="1052"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2.1. valsts pamatbudžets</w:t>
            </w:r>
          </w:p>
        </w:tc>
        <w:tc>
          <w:tcPr>
            <w:tcW w:w="1052"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2.2. valsts speciālais budžets</w:t>
            </w:r>
          </w:p>
        </w:tc>
        <w:tc>
          <w:tcPr>
            <w:tcW w:w="1052"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 xml:space="preserve">2.3. pašvaldību budžets </w:t>
            </w:r>
          </w:p>
        </w:tc>
        <w:tc>
          <w:tcPr>
            <w:tcW w:w="1052"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rPr>
                <w:b/>
              </w:rPr>
            </w:pPr>
            <w:r w:rsidRPr="008F30B2">
              <w:rPr>
                <w:b/>
              </w:rPr>
              <w:t>3. Finansiālā ietekme:</w:t>
            </w: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X</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1 364 340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1 332 340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1 302 340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3.1. valsts pamatbudžets</w:t>
            </w: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X</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1 013 590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980 340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948 590</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3.2. speciālais budžets</w:t>
            </w: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X</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 xml:space="preserve">3.3. pašvaldību budžets </w:t>
            </w:r>
          </w:p>
        </w:tc>
        <w:tc>
          <w:tcPr>
            <w:tcW w:w="1052"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rPr>
                <w:b/>
              </w:rPr>
            </w:pPr>
            <w:r w:rsidRPr="008F30B2">
              <w:rPr>
                <w:b/>
              </w:rPr>
              <w:t>X</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05"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350 750</w:t>
            </w:r>
          </w:p>
        </w:tc>
        <w:tc>
          <w:tcPr>
            <w:tcW w:w="1606"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352 000</w:t>
            </w:r>
          </w:p>
        </w:tc>
        <w:tc>
          <w:tcPr>
            <w:tcW w:w="1677"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353 750</w:t>
            </w:r>
          </w:p>
        </w:tc>
      </w:tr>
      <w:tr w:rsidR="001734BD" w:rsidRPr="008F30B2" w:rsidTr="001734BD">
        <w:trPr>
          <w:jc w:val="center"/>
        </w:trPr>
        <w:tc>
          <w:tcPr>
            <w:tcW w:w="2261" w:type="dxa"/>
            <w:vMerge w:val="restart"/>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4. Finanšu līdzekļi papildu izde</w:t>
            </w:r>
            <w:r w:rsidRPr="008F30B2">
              <w:softHyphen/>
              <w:t xml:space="preserve">vumu finansēšanai (kompensējošu </w:t>
            </w:r>
            <w:r w:rsidRPr="008F30B2">
              <w:lastRenderedPageBreak/>
              <w:t>izdevumu samazinājumu norāda ar "+" zīmi)</w:t>
            </w:r>
          </w:p>
        </w:tc>
        <w:tc>
          <w:tcPr>
            <w:tcW w:w="1052" w:type="dxa"/>
            <w:vMerge w:val="restart"/>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lastRenderedPageBreak/>
              <w:t>X</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lastRenderedPageBreak/>
              <w:t>5. Precizēta finansiālā ietekme:</w:t>
            </w:r>
          </w:p>
        </w:tc>
        <w:tc>
          <w:tcPr>
            <w:tcW w:w="1052" w:type="dxa"/>
            <w:vMerge w:val="restart"/>
            <w:tcBorders>
              <w:top w:val="single" w:sz="4" w:space="0" w:color="auto"/>
              <w:left w:val="single" w:sz="4" w:space="0" w:color="auto"/>
              <w:bottom w:val="single" w:sz="4" w:space="0" w:color="auto"/>
              <w:right w:val="single" w:sz="4" w:space="0" w:color="auto"/>
            </w:tcBorders>
            <w:hideMark/>
          </w:tcPr>
          <w:p w:rsidR="001734BD" w:rsidRPr="008F30B2" w:rsidRDefault="001734BD">
            <w:pPr>
              <w:jc w:val="center"/>
            </w:pPr>
            <w:r w:rsidRPr="008F30B2">
              <w:t>X</w:t>
            </w:r>
          </w:p>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 xml:space="preserve">5.1. valsts pamatbudžets </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5.2. speciālais budžets</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 xml:space="preserve">5.3. pašvaldību budžets </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tc>
        <w:tc>
          <w:tcPr>
            <w:tcW w:w="1150"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5"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06"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c>
          <w:tcPr>
            <w:tcW w:w="1677" w:type="dxa"/>
            <w:tcBorders>
              <w:top w:val="single" w:sz="4" w:space="0" w:color="auto"/>
              <w:left w:val="single" w:sz="4" w:space="0" w:color="auto"/>
              <w:bottom w:val="single" w:sz="4" w:space="0" w:color="auto"/>
              <w:right w:val="single" w:sz="4" w:space="0" w:color="auto"/>
            </w:tcBorders>
          </w:tcPr>
          <w:p w:rsidR="001734BD" w:rsidRPr="008F30B2" w:rsidRDefault="001734BD">
            <w:pPr>
              <w:jc w:val="center"/>
              <w:rPr>
                <w:b/>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6. Detalizēts ieņēmumu un izdevu</w:t>
            </w:r>
            <w:r w:rsidRPr="008F30B2">
              <w:softHyphen/>
              <w:t>mu aprēķins (ja nepieciešams, detalizētu ieņēmumu un izdevumu aprēķinu var pievienot anotācijas pielikumā):</w:t>
            </w:r>
          </w:p>
        </w:tc>
        <w:tc>
          <w:tcPr>
            <w:tcW w:w="7090" w:type="dxa"/>
            <w:gridSpan w:val="5"/>
            <w:vMerge w:val="restart"/>
            <w:tcBorders>
              <w:top w:val="single" w:sz="4" w:space="0" w:color="auto"/>
              <w:left w:val="single" w:sz="4" w:space="0" w:color="auto"/>
              <w:bottom w:val="single" w:sz="4" w:space="0" w:color="auto"/>
              <w:right w:val="single" w:sz="4" w:space="0" w:color="auto"/>
            </w:tcBorders>
            <w:vAlign w:val="center"/>
          </w:tcPr>
          <w:p w:rsidR="001734BD" w:rsidRPr="008F30B2" w:rsidRDefault="001734BD" w:rsidP="002F4FF3">
            <w:pPr>
              <w:jc w:val="both"/>
              <w:rPr>
                <w:b/>
              </w:rPr>
            </w:pPr>
            <w:r w:rsidRPr="008F30B2">
              <w:rPr>
                <w:b/>
              </w:rPr>
              <w:t>Izmaiņas attiecībā uz azartspēļu nodokli</w:t>
            </w:r>
          </w:p>
          <w:p w:rsidR="001734BD" w:rsidRPr="002E1BE1" w:rsidRDefault="001734BD" w:rsidP="00985AF6">
            <w:pPr>
              <w:jc w:val="both"/>
              <w:rPr>
                <w:rFonts w:eastAsiaTheme="minorHAnsi"/>
                <w:strike/>
              </w:rPr>
            </w:pPr>
            <w:r w:rsidRPr="002E1BE1">
              <w:rPr>
                <w:rFonts w:eastAsiaTheme="minorHAnsi"/>
              </w:rPr>
              <w:t>Likumprojekt</w:t>
            </w:r>
            <w:r w:rsidRPr="002E1BE1">
              <w:rPr>
                <w:rFonts w:eastAsiaTheme="minorHAnsi"/>
                <w:color w:val="1F497D"/>
              </w:rPr>
              <w:t>s</w:t>
            </w:r>
            <w:r w:rsidRPr="002E1BE1">
              <w:rPr>
                <w:rFonts w:eastAsiaTheme="minorHAnsi"/>
              </w:rPr>
              <w:t xml:space="preserve"> paredz palielināt azartspēļu nodokli katram azartspēļu automātam par katru spēles vietu no 3 141,70 </w:t>
            </w:r>
            <w:r w:rsidRPr="002E1BE1">
              <w:rPr>
                <w:rFonts w:eastAsiaTheme="minorHAnsi"/>
                <w:i/>
                <w:iCs/>
              </w:rPr>
              <w:t>euro</w:t>
            </w:r>
            <w:r w:rsidRPr="002E1BE1">
              <w:rPr>
                <w:rFonts w:eastAsiaTheme="minorHAnsi"/>
              </w:rPr>
              <w:t xml:space="preserve"> līdz 3 300 </w:t>
            </w:r>
            <w:r w:rsidRPr="002E1BE1">
              <w:rPr>
                <w:rFonts w:eastAsiaTheme="minorHAnsi"/>
                <w:i/>
                <w:iCs/>
              </w:rPr>
              <w:t xml:space="preserve">euro </w:t>
            </w:r>
            <w:r w:rsidRPr="002E1BE1">
              <w:rPr>
                <w:rFonts w:eastAsiaTheme="minorHAnsi"/>
              </w:rPr>
              <w:t>un katram ruletes, kāršu vai kauliņu spēles galdam no 17 279,36 </w:t>
            </w:r>
            <w:r w:rsidRPr="002E1BE1">
              <w:rPr>
                <w:rFonts w:eastAsiaTheme="minorHAnsi"/>
                <w:i/>
                <w:iCs/>
              </w:rPr>
              <w:t>euro</w:t>
            </w:r>
            <w:r w:rsidRPr="002E1BE1">
              <w:rPr>
                <w:rFonts w:eastAsiaTheme="minorHAnsi"/>
              </w:rPr>
              <w:t xml:space="preserve"> līdz 18 000 </w:t>
            </w:r>
            <w:r w:rsidRPr="002E1BE1">
              <w:rPr>
                <w:rFonts w:eastAsiaTheme="minorHAnsi"/>
                <w:i/>
                <w:iCs/>
              </w:rPr>
              <w:t xml:space="preserve">euro. </w:t>
            </w:r>
            <w:r w:rsidRPr="002E1BE1">
              <w:rPr>
                <w:rFonts w:eastAsiaTheme="minorHAnsi"/>
              </w:rPr>
              <w:t>Tā kā likmju pieaugums ir atbilstošs ekonomikas izaugsmei – katram azartspēļu automātam par katru spēles vietu nodokļa likme pieaugs par 5,06% un katram ruletes, kāršu vai kauliņu spēles galdam likme pieaugs par 4,2%</w:t>
            </w:r>
            <w:r w:rsidRPr="002E1BE1">
              <w:rPr>
                <w:rFonts w:eastAsiaTheme="minorHAnsi"/>
                <w:color w:val="1F497D"/>
              </w:rPr>
              <w:t xml:space="preserve"> </w:t>
            </w:r>
            <w:r w:rsidRPr="008F30B2">
              <w:t xml:space="preserve">– </w:t>
            </w:r>
            <w:r w:rsidRPr="002E1BE1">
              <w:rPr>
                <w:rFonts w:eastAsiaTheme="minorHAnsi"/>
              </w:rPr>
              <w:t>tiek prognozēts, ka vidējā termiņā tas būtiski neietekmēs prognozēto apliekamo objektu skait</w:t>
            </w:r>
            <w:r w:rsidRPr="002E1BE1">
              <w:rPr>
                <w:rFonts w:eastAsiaTheme="minorHAnsi"/>
                <w:color w:val="1F497D"/>
              </w:rPr>
              <w:t>u.</w:t>
            </w:r>
            <w:r w:rsidRPr="002E1BE1">
              <w:rPr>
                <w:rFonts w:eastAsiaTheme="minorHAnsi"/>
                <w:strike/>
              </w:rPr>
              <w:t xml:space="preserve"> </w:t>
            </w:r>
          </w:p>
          <w:p w:rsidR="001734BD" w:rsidRPr="008F30B2" w:rsidRDefault="001734BD" w:rsidP="002F4FF3">
            <w:pPr>
              <w:jc w:val="both"/>
            </w:pPr>
            <w:r w:rsidRPr="008F30B2">
              <w:t>Fiskālā ietekme 2016.gadā būs +1 403 000 </w:t>
            </w:r>
            <w:r w:rsidRPr="008F30B2">
              <w:rPr>
                <w:i/>
              </w:rPr>
              <w:t xml:space="preserve">euro </w:t>
            </w:r>
            <w:r w:rsidRPr="008F30B2">
              <w:t>(t.sk., valsts budžetā +1 052 250 </w:t>
            </w:r>
            <w:r w:rsidRPr="008F30B2">
              <w:rPr>
                <w:i/>
              </w:rPr>
              <w:t>euro</w:t>
            </w:r>
            <w:r w:rsidRPr="008F30B2">
              <w:t>,</w:t>
            </w:r>
            <w:r w:rsidRPr="008F30B2">
              <w:rPr>
                <w:i/>
              </w:rPr>
              <w:t xml:space="preserve"> </w:t>
            </w:r>
            <w:r w:rsidRPr="008F30B2">
              <w:t xml:space="preserve">pašvaldību budžetā +350 750 </w:t>
            </w:r>
            <w:r w:rsidRPr="008F30B2">
              <w:rPr>
                <w:i/>
              </w:rPr>
              <w:t>euro</w:t>
            </w:r>
            <w:r w:rsidRPr="008F30B2">
              <w:t>), 2017.gadā +1 408 000 </w:t>
            </w:r>
            <w:r w:rsidRPr="008F30B2">
              <w:rPr>
                <w:i/>
              </w:rPr>
              <w:t xml:space="preserve">euro </w:t>
            </w:r>
            <w:r w:rsidRPr="008F30B2">
              <w:t>(t.sk., valsts budžetā +1 056 000 </w:t>
            </w:r>
            <w:r w:rsidRPr="008F30B2">
              <w:rPr>
                <w:i/>
              </w:rPr>
              <w:t>euro</w:t>
            </w:r>
            <w:r w:rsidRPr="008F30B2">
              <w:t>,</w:t>
            </w:r>
            <w:r w:rsidRPr="008F30B2">
              <w:rPr>
                <w:i/>
              </w:rPr>
              <w:t xml:space="preserve"> </w:t>
            </w:r>
            <w:r w:rsidRPr="008F30B2">
              <w:t>pašvaldību budžetā +352 000 </w:t>
            </w:r>
            <w:r w:rsidRPr="008F30B2">
              <w:rPr>
                <w:i/>
              </w:rPr>
              <w:t>euro</w:t>
            </w:r>
            <w:r w:rsidRPr="008F30B2">
              <w:t>) un 2018.gadā +1 415 000 </w:t>
            </w:r>
            <w:r w:rsidRPr="008F30B2">
              <w:rPr>
                <w:i/>
              </w:rPr>
              <w:t>euro</w:t>
            </w:r>
            <w:r w:rsidRPr="008F30B2">
              <w:t xml:space="preserve"> (t.sk., valsts budžetā +1 061 250 </w:t>
            </w:r>
            <w:r w:rsidRPr="008F30B2">
              <w:rPr>
                <w:i/>
              </w:rPr>
              <w:t>euro</w:t>
            </w:r>
            <w:r w:rsidRPr="008F30B2">
              <w:t>,</w:t>
            </w:r>
            <w:r w:rsidRPr="008F30B2">
              <w:rPr>
                <w:i/>
              </w:rPr>
              <w:t xml:space="preserve"> </w:t>
            </w:r>
            <w:r w:rsidRPr="008F30B2">
              <w:t>pašvaldību budžetā +353 750 </w:t>
            </w:r>
            <w:r w:rsidRPr="008F30B2">
              <w:rPr>
                <w:i/>
              </w:rPr>
              <w:t>euro</w:t>
            </w:r>
            <w:r w:rsidRPr="008F30B2">
              <w:t>).</w:t>
            </w:r>
          </w:p>
          <w:p w:rsidR="001734BD" w:rsidRPr="008F30B2" w:rsidRDefault="001734BD">
            <w:pPr>
              <w:jc w:val="both"/>
            </w:pPr>
          </w:p>
          <w:p w:rsidR="00633514" w:rsidRDefault="00633514" w:rsidP="00633514">
            <w:pPr>
              <w:jc w:val="both"/>
            </w:pPr>
            <w:r>
              <w:rPr>
                <w:b/>
              </w:rPr>
              <w:t>Izmaiņas attiecībā uz azartspēļu nodevu</w:t>
            </w:r>
          </w:p>
          <w:p w:rsidR="001734BD" w:rsidRPr="00633514" w:rsidRDefault="00633514" w:rsidP="003537A6">
            <w:pPr>
              <w:jc w:val="both"/>
              <w:rPr>
                <w:bCs/>
              </w:rPr>
            </w:pPr>
            <w:r w:rsidRPr="00633514">
              <w:t>Likumprojekts paredz palielināt valsts nodevas likmes par licences spēļu automātu, bingo, ruletes, kāršu un kauliņu spēles organizēšanai  pagarināšanu no 35 580 </w:t>
            </w:r>
            <w:r w:rsidRPr="00633514">
              <w:rPr>
                <w:i/>
              </w:rPr>
              <w:t>euro</w:t>
            </w:r>
            <w:r w:rsidRPr="00633514">
              <w:t xml:space="preserve"> līdz 37 000 </w:t>
            </w:r>
            <w:r w:rsidRPr="00633514">
              <w:rPr>
                <w:i/>
              </w:rPr>
              <w:t>euro</w:t>
            </w:r>
            <w:r w:rsidRPr="00633514">
              <w:t xml:space="preserve">, licencei par kazino atvēršanu no 28 460 </w:t>
            </w:r>
            <w:r w:rsidRPr="00633514">
              <w:rPr>
                <w:i/>
              </w:rPr>
              <w:t>euro</w:t>
            </w:r>
            <w:r w:rsidRPr="00633514">
              <w:t xml:space="preserve"> līdz 30 000 </w:t>
            </w:r>
            <w:r w:rsidRPr="00633514">
              <w:rPr>
                <w:i/>
              </w:rPr>
              <w:t>euro</w:t>
            </w:r>
            <w:r w:rsidRPr="00633514">
              <w:t>, licencei par spēļu zāles un bingo zāles atvēršanu 4 270 </w:t>
            </w:r>
            <w:r w:rsidRPr="00633514">
              <w:rPr>
                <w:i/>
              </w:rPr>
              <w:t>euro</w:t>
            </w:r>
            <w:r w:rsidRPr="00633514">
              <w:t xml:space="preserve"> līdz 4 500 </w:t>
            </w:r>
            <w:r w:rsidRPr="00633514">
              <w:rPr>
                <w:i/>
              </w:rPr>
              <w:t>euro</w:t>
            </w:r>
            <w:r w:rsidRPr="00633514">
              <w:t>, licencei par totalizatora organizēšanu un uzturēšanu no 42 690 </w:t>
            </w:r>
            <w:r w:rsidRPr="00633514">
              <w:rPr>
                <w:i/>
              </w:rPr>
              <w:t>euro</w:t>
            </w:r>
            <w:r w:rsidRPr="00633514">
              <w:t xml:space="preserve"> līdz 45 000 </w:t>
            </w:r>
            <w:r w:rsidRPr="00633514">
              <w:rPr>
                <w:i/>
              </w:rPr>
              <w:t>euro</w:t>
            </w:r>
            <w:r w:rsidRPr="00633514">
              <w:t>, licencei par veiksmes spēlēm pa tālruni, to organizēšanai un uzturēšanai, no 14 230 </w:t>
            </w:r>
            <w:r w:rsidRPr="00633514">
              <w:rPr>
                <w:i/>
              </w:rPr>
              <w:t>euro</w:t>
            </w:r>
            <w:r w:rsidRPr="00633514">
              <w:t xml:space="preserve"> līdz 15 000 </w:t>
            </w:r>
            <w:r w:rsidRPr="00633514">
              <w:rPr>
                <w:i/>
              </w:rPr>
              <w:t xml:space="preserve">euro. </w:t>
            </w:r>
            <w:r w:rsidRPr="00633514">
              <w:t>Fiskālā ietekme 2016.gadā būtu -38 660 </w:t>
            </w:r>
            <w:r w:rsidRPr="00633514">
              <w:rPr>
                <w:i/>
              </w:rPr>
              <w:t>euro</w:t>
            </w:r>
            <w:r w:rsidRPr="00633514">
              <w:t>, 2017. gadā -75 660 </w:t>
            </w:r>
            <w:r w:rsidRPr="00633514">
              <w:rPr>
                <w:i/>
              </w:rPr>
              <w:t>euro</w:t>
            </w:r>
            <w:r w:rsidRPr="00633514">
              <w:t xml:space="preserve"> un 2018. gadā -112 660 </w:t>
            </w:r>
            <w:r w:rsidRPr="00633514">
              <w:rPr>
                <w:i/>
              </w:rPr>
              <w:t>euro</w:t>
            </w:r>
            <w:r w:rsidRPr="00633514">
              <w:t>, jo nodevu likmju pieaugums nekompensēs prognozēto licenču skaita samazinājumu 2016.gadā un turpmāk.</w:t>
            </w: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6.1. detalizēts ieņēmumu aprēķins</w:t>
            </w:r>
          </w:p>
        </w:tc>
        <w:tc>
          <w:tcPr>
            <w:tcW w:w="7090" w:type="dxa"/>
            <w:gridSpan w:val="5"/>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rPr>
                <w:bCs/>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6.2. detalizēts izdevumu aprēķins</w:t>
            </w:r>
          </w:p>
        </w:tc>
        <w:tc>
          <w:tcPr>
            <w:tcW w:w="7090" w:type="dxa"/>
            <w:gridSpan w:val="5"/>
            <w:vMerge/>
            <w:tcBorders>
              <w:top w:val="single" w:sz="4" w:space="0" w:color="auto"/>
              <w:left w:val="single" w:sz="4" w:space="0" w:color="auto"/>
              <w:bottom w:val="single" w:sz="4" w:space="0" w:color="auto"/>
              <w:right w:val="single" w:sz="4" w:space="0" w:color="auto"/>
            </w:tcBorders>
            <w:vAlign w:val="center"/>
            <w:hideMark/>
          </w:tcPr>
          <w:p w:rsidR="001734BD" w:rsidRPr="008F30B2" w:rsidRDefault="001734BD">
            <w:pPr>
              <w:rPr>
                <w:bCs/>
              </w:rPr>
            </w:pPr>
          </w:p>
        </w:tc>
      </w:tr>
      <w:tr w:rsidR="001734BD" w:rsidRPr="008F30B2" w:rsidTr="001734BD">
        <w:trPr>
          <w:jc w:val="center"/>
        </w:trPr>
        <w:tc>
          <w:tcPr>
            <w:tcW w:w="2261" w:type="dxa"/>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pPr>
            <w:r w:rsidRPr="008F30B2">
              <w:t>7. Cita informācija</w:t>
            </w:r>
          </w:p>
        </w:tc>
        <w:tc>
          <w:tcPr>
            <w:tcW w:w="7090" w:type="dxa"/>
            <w:gridSpan w:val="5"/>
            <w:tcBorders>
              <w:top w:val="single" w:sz="4" w:space="0" w:color="auto"/>
              <w:left w:val="single" w:sz="4" w:space="0" w:color="auto"/>
              <w:bottom w:val="single" w:sz="4" w:space="0" w:color="auto"/>
              <w:right w:val="single" w:sz="4" w:space="0" w:color="auto"/>
            </w:tcBorders>
            <w:hideMark/>
          </w:tcPr>
          <w:p w:rsidR="001734BD" w:rsidRPr="008F30B2" w:rsidRDefault="001734BD">
            <w:pPr>
              <w:jc w:val="both"/>
              <w:rPr>
                <w:b/>
                <w:i/>
              </w:rPr>
            </w:pPr>
            <w:r w:rsidRPr="008F30B2">
              <w:t>Nav.</w:t>
            </w:r>
          </w:p>
        </w:tc>
      </w:tr>
    </w:tbl>
    <w:p w:rsidR="00D173F7" w:rsidRPr="008F30B2" w:rsidRDefault="00D173F7" w:rsidP="003F16C5">
      <w:pPr>
        <w:pStyle w:val="naisf"/>
        <w:spacing w:before="0" w:after="0"/>
        <w:ind w:firstLine="0"/>
      </w:pPr>
    </w:p>
    <w:p w:rsidR="00B75739" w:rsidRPr="008F30B2" w:rsidRDefault="00B75739" w:rsidP="006D0922">
      <w:pPr>
        <w:pStyle w:val="naisf"/>
        <w:spacing w:before="0" w:after="0"/>
        <w:ind w:firstLine="0"/>
      </w:pPr>
    </w:p>
    <w:tbl>
      <w:tblPr>
        <w:tblW w:w="51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27"/>
      </w:tblGrid>
      <w:tr w:rsidR="008F2155" w:rsidRPr="008F30B2" w:rsidTr="001734BD">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70332" w:rsidRPr="008F30B2" w:rsidRDefault="00370332">
            <w:pPr>
              <w:pStyle w:val="tvhtml"/>
              <w:spacing w:line="293" w:lineRule="atLeast"/>
              <w:jc w:val="center"/>
              <w:rPr>
                <w:b/>
                <w:bCs/>
              </w:rPr>
            </w:pPr>
            <w:r w:rsidRPr="008F30B2">
              <w:rPr>
                <w:b/>
                <w:bCs/>
              </w:rPr>
              <w:t>IV. Tiesību akta projekta ietekme uz spēkā esošo tiesību normu sistēmu</w:t>
            </w:r>
          </w:p>
        </w:tc>
      </w:tr>
      <w:tr w:rsidR="00F02EE6" w:rsidRPr="008F30B2" w:rsidTr="001734BD">
        <w:trPr>
          <w:trHeight w:val="324"/>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F02EE6" w:rsidRPr="008F30B2" w:rsidRDefault="00F02EE6">
            <w:pPr>
              <w:pStyle w:val="tvhtml"/>
              <w:spacing w:line="293" w:lineRule="atLeast"/>
              <w:jc w:val="center"/>
              <w:rPr>
                <w:b/>
                <w:bCs/>
              </w:rPr>
            </w:pPr>
            <w:r w:rsidRPr="008F30B2">
              <w:rPr>
                <w:bCs/>
              </w:rPr>
              <w:t>Projekts šo jomu neskar</w:t>
            </w:r>
          </w:p>
        </w:tc>
      </w:tr>
    </w:tbl>
    <w:p w:rsidR="002E33E1" w:rsidRPr="008F30B2" w:rsidRDefault="002E33E1" w:rsidP="00370332">
      <w:pPr>
        <w:pStyle w:val="naisf"/>
        <w:spacing w:before="0" w:after="0"/>
        <w:ind w:firstLine="0"/>
      </w:pPr>
    </w:p>
    <w:p w:rsidR="00E27791" w:rsidRPr="008F30B2" w:rsidRDefault="00E27791" w:rsidP="00370332">
      <w:pPr>
        <w:pStyle w:val="naisf"/>
        <w:spacing w:before="0" w:after="0"/>
        <w:ind w:firstLine="0"/>
      </w:pPr>
    </w:p>
    <w:tbl>
      <w:tblPr>
        <w:tblW w:w="5166" w:type="pct"/>
        <w:tblInd w:w="-14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34"/>
      </w:tblGrid>
      <w:tr w:rsidR="008F2155" w:rsidRPr="008F30B2" w:rsidTr="001734BD">
        <w:trPr>
          <w:trHeight w:val="474"/>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73464" w:rsidRPr="008F30B2" w:rsidRDefault="00B73464">
            <w:pPr>
              <w:pStyle w:val="tvhtml"/>
              <w:spacing w:line="293" w:lineRule="atLeast"/>
              <w:jc w:val="center"/>
              <w:rPr>
                <w:b/>
                <w:bCs/>
              </w:rPr>
            </w:pPr>
            <w:r w:rsidRPr="008F30B2">
              <w:rPr>
                <w:b/>
                <w:bCs/>
              </w:rPr>
              <w:t>V. Tiesību akta projekta atbilstība Latvijas Republikas starptautiskajām saistībām</w:t>
            </w:r>
          </w:p>
        </w:tc>
      </w:tr>
      <w:tr w:rsidR="00E5258E" w:rsidRPr="008F30B2" w:rsidTr="001734BD">
        <w:trPr>
          <w:trHeight w:val="236"/>
        </w:trPr>
        <w:tc>
          <w:tcPr>
            <w:tcW w:w="5000" w:type="pct"/>
            <w:tcBorders>
              <w:top w:val="outset" w:sz="6" w:space="0" w:color="414142"/>
              <w:left w:val="outset" w:sz="6" w:space="0" w:color="414142"/>
              <w:bottom w:val="single" w:sz="4" w:space="0" w:color="auto"/>
              <w:right w:val="outset" w:sz="6" w:space="0" w:color="414142"/>
            </w:tcBorders>
            <w:shd w:val="clear" w:color="auto" w:fill="FFFFFF"/>
            <w:vAlign w:val="center"/>
          </w:tcPr>
          <w:p w:rsidR="00E5258E" w:rsidRPr="008F30B2" w:rsidRDefault="00E5258E">
            <w:pPr>
              <w:pStyle w:val="tvhtml"/>
              <w:spacing w:line="293" w:lineRule="atLeast"/>
              <w:jc w:val="center"/>
              <w:rPr>
                <w:bCs/>
              </w:rPr>
            </w:pPr>
            <w:r w:rsidRPr="008F30B2">
              <w:rPr>
                <w:bCs/>
              </w:rPr>
              <w:t>Projekts šo jomu neskar</w:t>
            </w:r>
          </w:p>
        </w:tc>
      </w:tr>
    </w:tbl>
    <w:p w:rsidR="008D0698" w:rsidRPr="008F30B2" w:rsidRDefault="008D0698" w:rsidP="001734BD">
      <w:pPr>
        <w:shd w:val="clear" w:color="auto" w:fill="FFFFFF"/>
        <w:ind w:firstLine="301"/>
      </w:pPr>
    </w:p>
    <w:p w:rsidR="001734BD" w:rsidRPr="008F30B2" w:rsidRDefault="001734BD" w:rsidP="001734BD">
      <w:pPr>
        <w:shd w:val="clear" w:color="auto" w:fill="FFFFFF"/>
        <w:ind w:firstLine="301"/>
      </w:pPr>
    </w:p>
    <w:tbl>
      <w:tblPr>
        <w:tblW w:w="517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2167"/>
        <w:gridCol w:w="6867"/>
      </w:tblGrid>
      <w:tr w:rsidR="008F2155" w:rsidRPr="008F30B2" w:rsidTr="001734BD">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70332" w:rsidRPr="008F30B2" w:rsidRDefault="00370332">
            <w:pPr>
              <w:pStyle w:val="tvhtml"/>
              <w:spacing w:line="293" w:lineRule="atLeast"/>
              <w:jc w:val="center"/>
              <w:rPr>
                <w:b/>
                <w:bCs/>
              </w:rPr>
            </w:pPr>
            <w:r w:rsidRPr="008F30B2">
              <w:rPr>
                <w:b/>
                <w:bCs/>
              </w:rPr>
              <w:t>VI. Sabiedrības līdzdalība un komunikācijas aktivitātes</w:t>
            </w:r>
          </w:p>
        </w:tc>
      </w:tr>
      <w:tr w:rsidR="008F2155" w:rsidRPr="008F30B2" w:rsidTr="002E1BE1">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rsidR="00370332" w:rsidRPr="008F30B2" w:rsidRDefault="00370332">
            <w:r w:rsidRPr="008F30B2">
              <w:t>1.</w:t>
            </w:r>
          </w:p>
        </w:tc>
        <w:tc>
          <w:tcPr>
            <w:tcW w:w="1146" w:type="pct"/>
            <w:tcBorders>
              <w:top w:val="outset" w:sz="6" w:space="0" w:color="414142"/>
              <w:left w:val="outset" w:sz="6" w:space="0" w:color="414142"/>
              <w:bottom w:val="outset" w:sz="6" w:space="0" w:color="414142"/>
              <w:right w:val="outset" w:sz="6" w:space="0" w:color="414142"/>
            </w:tcBorders>
            <w:hideMark/>
          </w:tcPr>
          <w:p w:rsidR="00370332" w:rsidRPr="008F30B2" w:rsidRDefault="00370332">
            <w:r w:rsidRPr="008F30B2">
              <w:t>Plānotās sabiedrības līdzdalības un komunikācijas aktivitātes saistībā ar projektu</w:t>
            </w:r>
          </w:p>
        </w:tc>
        <w:tc>
          <w:tcPr>
            <w:tcW w:w="3631" w:type="pct"/>
            <w:tcBorders>
              <w:top w:val="outset" w:sz="6" w:space="0" w:color="414142"/>
              <w:left w:val="outset" w:sz="6" w:space="0" w:color="414142"/>
              <w:bottom w:val="outset" w:sz="6" w:space="0" w:color="414142"/>
              <w:right w:val="outset" w:sz="6" w:space="0" w:color="414142"/>
            </w:tcBorders>
            <w:hideMark/>
          </w:tcPr>
          <w:p w:rsidR="00865C17" w:rsidRPr="008F30B2" w:rsidRDefault="003F22B2" w:rsidP="00985AF6">
            <w:pPr>
              <w:pStyle w:val="naiskr"/>
              <w:tabs>
                <w:tab w:val="left" w:pos="2628"/>
              </w:tabs>
              <w:spacing w:before="0" w:after="0"/>
              <w:jc w:val="both"/>
            </w:pPr>
            <w:r w:rsidRPr="008F30B2">
              <w:t>Par Likumprojektā paredzēto azartspēļu nodokļa un nodevas likmju paaugstināšanu ir informēta</w:t>
            </w:r>
            <w:r w:rsidRPr="008F30B2">
              <w:rPr>
                <w:iCs/>
              </w:rPr>
              <w:t xml:space="preserve"> Latvijas Spēļu biznesa asociācija</w:t>
            </w:r>
            <w:r w:rsidRPr="008F30B2">
              <w:t xml:space="preserve">. </w:t>
            </w:r>
            <w:r w:rsidR="00865C17" w:rsidRPr="008F30B2">
              <w:t>Likumprojekt</w:t>
            </w:r>
            <w:r w:rsidR="00DD353C" w:rsidRPr="008F30B2">
              <w:t>s</w:t>
            </w:r>
            <w:r w:rsidR="00865C17" w:rsidRPr="008F30B2">
              <w:t xml:space="preserve"> tiks </w:t>
            </w:r>
            <w:r w:rsidR="00DD353C" w:rsidRPr="008F30B2">
              <w:t>nosūtīts</w:t>
            </w:r>
            <w:r w:rsidR="00865C17" w:rsidRPr="008F30B2">
              <w:t xml:space="preserve"> Latvijas Darba devēju konfederācija</w:t>
            </w:r>
            <w:r w:rsidR="00DD353C" w:rsidRPr="008F30B2">
              <w:t>i</w:t>
            </w:r>
            <w:r w:rsidR="00865C17" w:rsidRPr="008F30B2">
              <w:rPr>
                <w:iCs/>
              </w:rPr>
              <w:t>.</w:t>
            </w:r>
          </w:p>
          <w:p w:rsidR="00370332" w:rsidRPr="008F30B2" w:rsidRDefault="00370332" w:rsidP="00A665FA">
            <w:pPr>
              <w:jc w:val="both"/>
            </w:pPr>
          </w:p>
        </w:tc>
      </w:tr>
      <w:tr w:rsidR="008F2155" w:rsidRPr="008F30B2" w:rsidTr="002E1BE1">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rsidR="00370332" w:rsidRPr="008F30B2" w:rsidRDefault="00370332">
            <w:r w:rsidRPr="008F30B2">
              <w:t>2.</w:t>
            </w:r>
          </w:p>
        </w:tc>
        <w:tc>
          <w:tcPr>
            <w:tcW w:w="1146" w:type="pct"/>
            <w:tcBorders>
              <w:top w:val="outset" w:sz="6" w:space="0" w:color="414142"/>
              <w:left w:val="outset" w:sz="6" w:space="0" w:color="414142"/>
              <w:bottom w:val="outset" w:sz="6" w:space="0" w:color="414142"/>
              <w:right w:val="outset" w:sz="6" w:space="0" w:color="414142"/>
            </w:tcBorders>
            <w:hideMark/>
          </w:tcPr>
          <w:p w:rsidR="00370332" w:rsidRPr="008F30B2" w:rsidRDefault="00370332">
            <w:r w:rsidRPr="008F30B2">
              <w:t>Sabiedrības līdzdalība projekta izstrādē</w:t>
            </w:r>
          </w:p>
        </w:tc>
        <w:tc>
          <w:tcPr>
            <w:tcW w:w="3631" w:type="pct"/>
            <w:tcBorders>
              <w:top w:val="outset" w:sz="6" w:space="0" w:color="414142"/>
              <w:left w:val="outset" w:sz="6" w:space="0" w:color="414142"/>
              <w:bottom w:val="outset" w:sz="6" w:space="0" w:color="414142"/>
              <w:right w:val="outset" w:sz="6" w:space="0" w:color="414142"/>
            </w:tcBorders>
            <w:hideMark/>
          </w:tcPr>
          <w:p w:rsidR="00370332" w:rsidRPr="008F30B2" w:rsidRDefault="004C3F93" w:rsidP="00E5258E">
            <w:pPr>
              <w:jc w:val="both"/>
            </w:pPr>
            <w:r w:rsidRPr="008F30B2">
              <w:t>Par Likumprojektā paredzēto azartspēļu nodokļa un nodevas likmju paaugstināšanu ir informēta</w:t>
            </w:r>
            <w:r w:rsidRPr="008F30B2">
              <w:rPr>
                <w:iCs/>
              </w:rPr>
              <w:t xml:space="preserve"> Latvijas Spēļu biznesa asociācija</w:t>
            </w:r>
            <w:r w:rsidR="00CC58F5" w:rsidRPr="008F30B2">
              <w:t>.</w:t>
            </w:r>
          </w:p>
        </w:tc>
      </w:tr>
      <w:tr w:rsidR="008F2155" w:rsidRPr="008F30B2" w:rsidTr="002E1BE1">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rsidR="00370332" w:rsidRPr="008F30B2" w:rsidRDefault="00370332">
            <w:r w:rsidRPr="008F30B2">
              <w:t>3.</w:t>
            </w:r>
          </w:p>
        </w:tc>
        <w:tc>
          <w:tcPr>
            <w:tcW w:w="1146" w:type="pct"/>
            <w:tcBorders>
              <w:top w:val="outset" w:sz="6" w:space="0" w:color="414142"/>
              <w:left w:val="outset" w:sz="6" w:space="0" w:color="414142"/>
              <w:bottom w:val="outset" w:sz="6" w:space="0" w:color="414142"/>
              <w:right w:val="outset" w:sz="6" w:space="0" w:color="414142"/>
            </w:tcBorders>
            <w:hideMark/>
          </w:tcPr>
          <w:p w:rsidR="00370332" w:rsidRPr="008F30B2" w:rsidRDefault="00370332">
            <w:r w:rsidRPr="008F30B2">
              <w:t>Sabiedrības līdzdalības rezultāti</w:t>
            </w:r>
          </w:p>
        </w:tc>
        <w:tc>
          <w:tcPr>
            <w:tcW w:w="3631" w:type="pct"/>
            <w:tcBorders>
              <w:top w:val="outset" w:sz="6" w:space="0" w:color="414142"/>
              <w:left w:val="outset" w:sz="6" w:space="0" w:color="414142"/>
              <w:bottom w:val="outset" w:sz="6" w:space="0" w:color="414142"/>
              <w:right w:val="outset" w:sz="6" w:space="0" w:color="414142"/>
            </w:tcBorders>
            <w:hideMark/>
          </w:tcPr>
          <w:p w:rsidR="00370332" w:rsidRPr="008F30B2" w:rsidRDefault="004C3F93">
            <w:pPr>
              <w:jc w:val="both"/>
            </w:pPr>
            <w:r w:rsidRPr="008F30B2">
              <w:t>Ņemot vērā to, ka</w:t>
            </w:r>
            <w:r w:rsidRPr="008F30B2">
              <w:rPr>
                <w:shd w:val="clear" w:color="auto" w:fill="FFFFFF"/>
              </w:rPr>
              <w:t xml:space="preserve"> nozares uzņēmumiem </w:t>
            </w:r>
            <w:r w:rsidR="007E4E22" w:rsidRPr="008F30B2">
              <w:t xml:space="preserve">ir nepieciešams uzkrāt līdzekļus </w:t>
            </w:r>
            <w:r w:rsidRPr="008F30B2">
              <w:rPr>
                <w:shd w:val="clear" w:color="auto" w:fill="FFFFFF"/>
              </w:rPr>
              <w:t>azartspēļu automātu saslēgšan</w:t>
            </w:r>
            <w:r w:rsidR="007E4E22" w:rsidRPr="008F30B2">
              <w:rPr>
                <w:shd w:val="clear" w:color="auto" w:fill="FFFFFF"/>
              </w:rPr>
              <w:t>ai</w:t>
            </w:r>
            <w:r w:rsidRPr="008F30B2">
              <w:rPr>
                <w:shd w:val="clear" w:color="auto" w:fill="FFFFFF"/>
              </w:rPr>
              <w:t xml:space="preserve"> vienotā tīklā, </w:t>
            </w:r>
            <w:r w:rsidR="00CC58F5" w:rsidRPr="008F30B2">
              <w:rPr>
                <w:iCs/>
              </w:rPr>
              <w:t>Latv</w:t>
            </w:r>
            <w:r w:rsidR="00E5258E" w:rsidRPr="008F30B2">
              <w:rPr>
                <w:iCs/>
              </w:rPr>
              <w:t>ijas Spēļu biznesa asociācija</w:t>
            </w:r>
            <w:r w:rsidR="007E4E22" w:rsidRPr="008F30B2">
              <w:t xml:space="preserve"> neatbalsta azartspēļu nodokļa un nodevas likmju paaugstināšanu. </w:t>
            </w:r>
          </w:p>
        </w:tc>
      </w:tr>
      <w:tr w:rsidR="00370332" w:rsidRPr="008F30B2" w:rsidTr="002E1BE1">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rsidR="00370332" w:rsidRPr="008F30B2" w:rsidRDefault="00370332">
            <w:r w:rsidRPr="008F30B2">
              <w:t>4.</w:t>
            </w:r>
          </w:p>
        </w:tc>
        <w:tc>
          <w:tcPr>
            <w:tcW w:w="1146" w:type="pct"/>
            <w:tcBorders>
              <w:top w:val="outset" w:sz="6" w:space="0" w:color="414142"/>
              <w:left w:val="outset" w:sz="6" w:space="0" w:color="414142"/>
              <w:bottom w:val="outset" w:sz="6" w:space="0" w:color="414142"/>
              <w:right w:val="outset" w:sz="6" w:space="0" w:color="414142"/>
            </w:tcBorders>
            <w:hideMark/>
          </w:tcPr>
          <w:p w:rsidR="00370332" w:rsidRPr="008F30B2" w:rsidRDefault="00370332">
            <w:r w:rsidRPr="008F30B2">
              <w:t>Cita informācija</w:t>
            </w:r>
          </w:p>
        </w:tc>
        <w:tc>
          <w:tcPr>
            <w:tcW w:w="3631" w:type="pct"/>
            <w:tcBorders>
              <w:top w:val="outset" w:sz="6" w:space="0" w:color="414142"/>
              <w:left w:val="outset" w:sz="6" w:space="0" w:color="414142"/>
              <w:bottom w:val="outset" w:sz="6" w:space="0" w:color="414142"/>
              <w:right w:val="outset" w:sz="6" w:space="0" w:color="414142"/>
            </w:tcBorders>
            <w:hideMark/>
          </w:tcPr>
          <w:p w:rsidR="00370332" w:rsidRPr="008F30B2" w:rsidRDefault="00370332" w:rsidP="0088685F">
            <w:pPr>
              <w:pStyle w:val="tvhtml"/>
              <w:spacing w:line="293" w:lineRule="atLeast"/>
            </w:pPr>
            <w:r w:rsidRPr="008F30B2">
              <w:t>Nav</w:t>
            </w:r>
          </w:p>
        </w:tc>
      </w:tr>
    </w:tbl>
    <w:p w:rsidR="00641C69" w:rsidRPr="008F30B2" w:rsidRDefault="00641C69" w:rsidP="006D0922">
      <w:pPr>
        <w:pStyle w:val="naisf"/>
        <w:spacing w:before="0" w:after="0"/>
        <w:ind w:firstLine="0"/>
      </w:pPr>
    </w:p>
    <w:p w:rsidR="002E33E1" w:rsidRPr="008F30B2" w:rsidRDefault="002E33E1" w:rsidP="006D0922">
      <w:pPr>
        <w:pStyle w:val="naisf"/>
        <w:spacing w:before="0" w:after="0"/>
        <w:ind w:firstLine="0"/>
      </w:pPr>
    </w:p>
    <w:tbl>
      <w:tblPr>
        <w:tblpPr w:leftFromText="180" w:rightFromText="180" w:vertAnchor="text" w:horzAnchor="margin" w:tblpX="-106" w:tblpY="212"/>
        <w:tblW w:w="51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6"/>
        <w:gridCol w:w="2726"/>
        <w:gridCol w:w="6265"/>
      </w:tblGrid>
      <w:tr w:rsidR="008F2155" w:rsidRPr="008F30B2" w:rsidTr="001734BD">
        <w:tc>
          <w:tcPr>
            <w:tcW w:w="5000" w:type="pct"/>
            <w:gridSpan w:val="3"/>
            <w:tcBorders>
              <w:top w:val="outset" w:sz="6" w:space="0" w:color="000000"/>
              <w:left w:val="outset" w:sz="6" w:space="0" w:color="000000"/>
              <w:bottom w:val="outset" w:sz="6" w:space="0" w:color="000000"/>
              <w:right w:val="outset" w:sz="6" w:space="0" w:color="000000"/>
            </w:tcBorders>
          </w:tcPr>
          <w:p w:rsidR="00081E26" w:rsidRPr="008F30B2" w:rsidRDefault="00081E26" w:rsidP="001734BD">
            <w:pPr>
              <w:spacing w:before="100" w:beforeAutospacing="1" w:after="100" w:afterAutospacing="1"/>
              <w:jc w:val="center"/>
              <w:rPr>
                <w:b/>
                <w:bCs/>
              </w:rPr>
            </w:pPr>
            <w:r w:rsidRPr="008F30B2">
              <w:rPr>
                <w:b/>
                <w:bCs/>
              </w:rPr>
              <w:t>VII. Tiesību akta projekta izpildes nodrošināšana un tās ietekme uz institūcijām</w:t>
            </w:r>
          </w:p>
        </w:tc>
      </w:tr>
      <w:tr w:rsidR="008F2155" w:rsidRPr="008F30B2" w:rsidTr="001734BD">
        <w:tc>
          <w:tcPr>
            <w:tcW w:w="231" w:type="pct"/>
            <w:tcBorders>
              <w:top w:val="single" w:sz="4" w:space="0" w:color="auto"/>
              <w:left w:val="single" w:sz="4" w:space="0" w:color="auto"/>
              <w:bottom w:val="single" w:sz="4" w:space="0" w:color="auto"/>
              <w:right w:val="single" w:sz="4" w:space="0" w:color="auto"/>
            </w:tcBorders>
          </w:tcPr>
          <w:p w:rsidR="00037AB9" w:rsidRPr="008F30B2" w:rsidRDefault="00081E26" w:rsidP="001734BD">
            <w:pPr>
              <w:spacing w:before="100" w:beforeAutospacing="1" w:after="100" w:afterAutospacing="1"/>
              <w:jc w:val="both"/>
            </w:pPr>
            <w:r w:rsidRPr="008F30B2">
              <w:t>1.</w:t>
            </w:r>
          </w:p>
        </w:tc>
        <w:tc>
          <w:tcPr>
            <w:tcW w:w="1446" w:type="pct"/>
            <w:tcBorders>
              <w:top w:val="outset" w:sz="6" w:space="0" w:color="000000"/>
              <w:left w:val="single" w:sz="4" w:space="0" w:color="auto"/>
              <w:bottom w:val="outset" w:sz="6" w:space="0" w:color="000000"/>
              <w:right w:val="outset" w:sz="6" w:space="0" w:color="000000"/>
            </w:tcBorders>
          </w:tcPr>
          <w:p w:rsidR="00037AB9" w:rsidRPr="008F30B2" w:rsidRDefault="00037AB9" w:rsidP="001734BD">
            <w:pPr>
              <w:spacing w:before="100" w:beforeAutospacing="1" w:after="100" w:afterAutospacing="1"/>
              <w:jc w:val="both"/>
            </w:pPr>
            <w:r w:rsidRPr="008F30B2">
              <w:t>Projekta izpildē iesaistītās institūcijas</w:t>
            </w:r>
          </w:p>
        </w:tc>
        <w:tc>
          <w:tcPr>
            <w:tcW w:w="3323" w:type="pct"/>
            <w:tcBorders>
              <w:top w:val="outset" w:sz="6" w:space="0" w:color="000000"/>
              <w:left w:val="outset" w:sz="6" w:space="0" w:color="000000"/>
              <w:bottom w:val="outset" w:sz="6" w:space="0" w:color="000000"/>
              <w:right w:val="outset" w:sz="6" w:space="0" w:color="000000"/>
            </w:tcBorders>
          </w:tcPr>
          <w:p w:rsidR="00037AB9" w:rsidRPr="008F30B2" w:rsidRDefault="00B50D7A" w:rsidP="00985AF6">
            <w:pPr>
              <w:jc w:val="both"/>
            </w:pPr>
            <w:r w:rsidRPr="008F30B2">
              <w:t>Izložu un azartspēļu uzraudzības inspekcija</w:t>
            </w:r>
            <w:r w:rsidR="002F063B" w:rsidRPr="008F30B2">
              <w:t>, Valsts ieņēmumu dienests</w:t>
            </w:r>
            <w:r w:rsidRPr="008F30B2">
              <w:t>.</w:t>
            </w:r>
          </w:p>
        </w:tc>
      </w:tr>
      <w:tr w:rsidR="008F2155" w:rsidRPr="008F30B2" w:rsidTr="001734BD">
        <w:tc>
          <w:tcPr>
            <w:tcW w:w="231" w:type="pct"/>
            <w:tcBorders>
              <w:top w:val="single" w:sz="4" w:space="0" w:color="auto"/>
              <w:left w:val="outset" w:sz="6" w:space="0" w:color="000000"/>
              <w:bottom w:val="outset" w:sz="6" w:space="0" w:color="000000"/>
              <w:right w:val="outset" w:sz="6" w:space="0" w:color="000000"/>
            </w:tcBorders>
          </w:tcPr>
          <w:p w:rsidR="00037AB9" w:rsidRPr="008F30B2" w:rsidRDefault="00081E26" w:rsidP="001734BD">
            <w:pPr>
              <w:spacing w:before="100" w:beforeAutospacing="1" w:after="100" w:afterAutospacing="1"/>
              <w:jc w:val="both"/>
            </w:pPr>
            <w:r w:rsidRPr="008F30B2">
              <w:t>2.</w:t>
            </w:r>
          </w:p>
        </w:tc>
        <w:tc>
          <w:tcPr>
            <w:tcW w:w="1446" w:type="pct"/>
            <w:tcBorders>
              <w:top w:val="outset" w:sz="6" w:space="0" w:color="000000"/>
              <w:left w:val="outset" w:sz="6" w:space="0" w:color="000000"/>
              <w:bottom w:val="outset" w:sz="6" w:space="0" w:color="000000"/>
              <w:right w:val="outset" w:sz="6" w:space="0" w:color="000000"/>
            </w:tcBorders>
          </w:tcPr>
          <w:p w:rsidR="00037AB9" w:rsidRPr="008F30B2" w:rsidRDefault="00037AB9" w:rsidP="001734BD">
            <w:pPr>
              <w:spacing w:before="100" w:beforeAutospacing="1" w:after="100" w:afterAutospacing="1"/>
              <w:jc w:val="both"/>
            </w:pPr>
            <w:r w:rsidRPr="008F30B2">
              <w:t>Projekta izpildes ietekme uz pārvaldes funkcijām un institucionālo struktūru</w:t>
            </w:r>
          </w:p>
          <w:p w:rsidR="00037AB9" w:rsidRPr="008F30B2" w:rsidRDefault="00037AB9" w:rsidP="001734BD">
            <w:pPr>
              <w:spacing w:before="100" w:beforeAutospacing="1" w:after="100" w:afterAutospacing="1"/>
              <w:jc w:val="both"/>
            </w:pPr>
            <w:r w:rsidRPr="008F30B2">
              <w:t>Jaunu institūciju izveide, esošu institūciju likvidācija vai reorganizācija, to ietekme uz institūcijas cilvēkresursiem</w:t>
            </w:r>
          </w:p>
        </w:tc>
        <w:tc>
          <w:tcPr>
            <w:tcW w:w="3323" w:type="pct"/>
            <w:tcBorders>
              <w:top w:val="outset" w:sz="6" w:space="0" w:color="000000"/>
              <w:left w:val="outset" w:sz="6" w:space="0" w:color="000000"/>
              <w:bottom w:val="outset" w:sz="6" w:space="0" w:color="000000"/>
              <w:right w:val="outset" w:sz="6" w:space="0" w:color="000000"/>
            </w:tcBorders>
          </w:tcPr>
          <w:p w:rsidR="008F444F" w:rsidRPr="008F30B2" w:rsidRDefault="00F84FE3" w:rsidP="001734BD">
            <w:pPr>
              <w:jc w:val="both"/>
            </w:pPr>
            <w:r w:rsidRPr="008F30B2">
              <w:t>Funkcijas un uzdevumi netiek grozīti.</w:t>
            </w:r>
          </w:p>
          <w:p w:rsidR="008F444F" w:rsidRPr="008F30B2" w:rsidRDefault="008F444F" w:rsidP="001734BD">
            <w:pPr>
              <w:jc w:val="both"/>
            </w:pPr>
          </w:p>
          <w:p w:rsidR="00037AB9" w:rsidRPr="008F30B2" w:rsidRDefault="008F444F" w:rsidP="001734BD">
            <w:pPr>
              <w:jc w:val="both"/>
            </w:pPr>
            <w:r w:rsidRPr="008F30B2">
              <w:t>N</w:t>
            </w:r>
            <w:r w:rsidR="00037AB9" w:rsidRPr="008F30B2">
              <w:t>av nepieciešams veidot jaunas institūcijas.</w:t>
            </w:r>
          </w:p>
          <w:p w:rsidR="008F444F" w:rsidRPr="008F30B2" w:rsidRDefault="008F444F" w:rsidP="001734BD">
            <w:pPr>
              <w:jc w:val="both"/>
            </w:pPr>
          </w:p>
          <w:p w:rsidR="00081E26" w:rsidRPr="008F30B2" w:rsidRDefault="00081E26" w:rsidP="001734BD">
            <w:pPr>
              <w:jc w:val="both"/>
            </w:pPr>
            <w:r w:rsidRPr="008F30B2">
              <w:t>Nav nepieciešama esošu institūciju likvidācija vai reorganizācija.</w:t>
            </w:r>
          </w:p>
        </w:tc>
      </w:tr>
      <w:tr w:rsidR="008F2155" w:rsidRPr="008F30B2" w:rsidTr="001734BD">
        <w:tc>
          <w:tcPr>
            <w:tcW w:w="231" w:type="pct"/>
            <w:tcBorders>
              <w:top w:val="outset" w:sz="6" w:space="0" w:color="000000"/>
              <w:left w:val="outset" w:sz="6" w:space="0" w:color="000000"/>
              <w:bottom w:val="outset" w:sz="6" w:space="0" w:color="000000"/>
              <w:right w:val="outset" w:sz="6" w:space="0" w:color="000000"/>
            </w:tcBorders>
          </w:tcPr>
          <w:p w:rsidR="00037AB9" w:rsidRPr="008F30B2" w:rsidRDefault="00081E26" w:rsidP="001734BD">
            <w:pPr>
              <w:spacing w:before="100" w:beforeAutospacing="1" w:after="100" w:afterAutospacing="1"/>
              <w:jc w:val="both"/>
            </w:pPr>
            <w:r w:rsidRPr="008F30B2">
              <w:t>3.</w:t>
            </w:r>
          </w:p>
        </w:tc>
        <w:tc>
          <w:tcPr>
            <w:tcW w:w="1446" w:type="pct"/>
            <w:tcBorders>
              <w:top w:val="outset" w:sz="6" w:space="0" w:color="000000"/>
              <w:left w:val="outset" w:sz="6" w:space="0" w:color="000000"/>
              <w:bottom w:val="outset" w:sz="6" w:space="0" w:color="000000"/>
              <w:right w:val="outset" w:sz="6" w:space="0" w:color="000000"/>
            </w:tcBorders>
          </w:tcPr>
          <w:p w:rsidR="00037AB9" w:rsidRPr="008F30B2" w:rsidRDefault="00081E26" w:rsidP="001734BD">
            <w:pPr>
              <w:spacing w:before="100" w:beforeAutospacing="1" w:after="100" w:afterAutospacing="1"/>
              <w:jc w:val="both"/>
            </w:pPr>
            <w:r w:rsidRPr="008F30B2">
              <w:t>Cita informācija</w:t>
            </w:r>
          </w:p>
        </w:tc>
        <w:tc>
          <w:tcPr>
            <w:tcW w:w="3323" w:type="pct"/>
            <w:tcBorders>
              <w:top w:val="outset" w:sz="6" w:space="0" w:color="000000"/>
              <w:left w:val="outset" w:sz="6" w:space="0" w:color="000000"/>
              <w:bottom w:val="outset" w:sz="6" w:space="0" w:color="000000"/>
              <w:right w:val="outset" w:sz="6" w:space="0" w:color="000000"/>
            </w:tcBorders>
          </w:tcPr>
          <w:p w:rsidR="00037AB9" w:rsidRPr="008F30B2" w:rsidRDefault="00081E26" w:rsidP="001734BD">
            <w:pPr>
              <w:spacing w:before="100" w:beforeAutospacing="1" w:after="100" w:afterAutospacing="1"/>
              <w:jc w:val="both"/>
            </w:pPr>
            <w:r w:rsidRPr="008F30B2">
              <w:t>Nav.</w:t>
            </w:r>
          </w:p>
        </w:tc>
      </w:tr>
    </w:tbl>
    <w:p w:rsidR="00080AD1" w:rsidRPr="008F30B2" w:rsidRDefault="00080AD1" w:rsidP="006D0922">
      <w:pPr>
        <w:pStyle w:val="naisf"/>
        <w:tabs>
          <w:tab w:val="left" w:pos="6804"/>
        </w:tabs>
        <w:spacing w:before="0" w:after="0"/>
        <w:ind w:firstLine="0"/>
      </w:pPr>
    </w:p>
    <w:p w:rsidR="0003506F" w:rsidRPr="008F30B2" w:rsidRDefault="0003506F" w:rsidP="0003506F">
      <w:pPr>
        <w:jc w:val="both"/>
        <w:rPr>
          <w:lang w:val="de-DE"/>
        </w:rPr>
      </w:pPr>
    </w:p>
    <w:p w:rsidR="00D0317B" w:rsidRPr="008F30B2" w:rsidRDefault="0003506F" w:rsidP="00D0317B">
      <w:pPr>
        <w:ind w:firstLine="720"/>
        <w:jc w:val="both"/>
        <w:rPr>
          <w:lang w:val="de-DE"/>
        </w:rPr>
      </w:pPr>
      <w:r w:rsidRPr="008F30B2">
        <w:rPr>
          <w:lang w:val="de-DE"/>
        </w:rPr>
        <w:t>Finanšu ministrs</w:t>
      </w:r>
      <w:r w:rsidRPr="008F30B2">
        <w:rPr>
          <w:lang w:val="de-DE"/>
        </w:rPr>
        <w:tab/>
      </w:r>
      <w:r w:rsidRPr="008F30B2">
        <w:rPr>
          <w:lang w:val="de-DE"/>
        </w:rPr>
        <w:tab/>
      </w:r>
      <w:r w:rsidRPr="008F30B2">
        <w:rPr>
          <w:lang w:val="de-DE"/>
        </w:rPr>
        <w:tab/>
      </w:r>
      <w:r w:rsidRPr="008F30B2">
        <w:rPr>
          <w:lang w:val="de-DE"/>
        </w:rPr>
        <w:tab/>
      </w:r>
      <w:r w:rsidRPr="008F30B2">
        <w:rPr>
          <w:lang w:val="de-DE"/>
        </w:rPr>
        <w:tab/>
      </w:r>
      <w:r w:rsidRPr="008F30B2">
        <w:rPr>
          <w:lang w:val="de-DE"/>
        </w:rPr>
        <w:tab/>
      </w:r>
      <w:r w:rsidRPr="008F30B2">
        <w:rPr>
          <w:lang w:val="de-DE"/>
        </w:rPr>
        <w:tab/>
      </w:r>
      <w:r w:rsidRPr="008F30B2">
        <w:rPr>
          <w:lang w:val="de-DE"/>
        </w:rPr>
        <w:tab/>
      </w:r>
      <w:r w:rsidR="00D0317B" w:rsidRPr="008F30B2">
        <w:rPr>
          <w:lang w:val="de-DE"/>
        </w:rPr>
        <w:t xml:space="preserve">J.Reirs </w:t>
      </w:r>
    </w:p>
    <w:p w:rsidR="007A66D8" w:rsidRPr="008F30B2" w:rsidRDefault="007A66D8" w:rsidP="006D0922">
      <w:pPr>
        <w:pStyle w:val="naisf"/>
        <w:tabs>
          <w:tab w:val="left" w:pos="6804"/>
        </w:tabs>
        <w:spacing w:before="0" w:after="0"/>
        <w:ind w:firstLine="0"/>
        <w:rPr>
          <w:lang w:val="de-DE"/>
        </w:rPr>
      </w:pPr>
    </w:p>
    <w:p w:rsidR="00704B95" w:rsidRPr="008F30B2" w:rsidRDefault="00704B95" w:rsidP="00081E26">
      <w:pPr>
        <w:tabs>
          <w:tab w:val="center" w:pos="4153"/>
          <w:tab w:val="right" w:pos="8306"/>
        </w:tabs>
        <w:rPr>
          <w:sz w:val="20"/>
          <w:szCs w:val="20"/>
        </w:rPr>
      </w:pPr>
    </w:p>
    <w:p w:rsidR="00704B95" w:rsidRPr="008F30B2" w:rsidRDefault="00704B95" w:rsidP="00081E26">
      <w:pPr>
        <w:tabs>
          <w:tab w:val="center" w:pos="4153"/>
          <w:tab w:val="right" w:pos="8306"/>
        </w:tabs>
        <w:rPr>
          <w:sz w:val="20"/>
          <w:szCs w:val="20"/>
        </w:rPr>
      </w:pPr>
    </w:p>
    <w:p w:rsidR="00985AF6" w:rsidRDefault="00985AF6" w:rsidP="00081E26">
      <w:pPr>
        <w:tabs>
          <w:tab w:val="center" w:pos="4153"/>
          <w:tab w:val="right" w:pos="8306"/>
        </w:tabs>
        <w:rPr>
          <w:sz w:val="20"/>
          <w:szCs w:val="20"/>
        </w:rPr>
      </w:pPr>
    </w:p>
    <w:p w:rsidR="00985AF6" w:rsidRDefault="00985AF6" w:rsidP="00081E26">
      <w:pPr>
        <w:tabs>
          <w:tab w:val="center" w:pos="4153"/>
          <w:tab w:val="right" w:pos="8306"/>
        </w:tabs>
        <w:rPr>
          <w:sz w:val="20"/>
          <w:szCs w:val="20"/>
        </w:rPr>
      </w:pPr>
    </w:p>
    <w:p w:rsidR="00985AF6" w:rsidRDefault="00985AF6" w:rsidP="00081E26">
      <w:pPr>
        <w:tabs>
          <w:tab w:val="center" w:pos="4153"/>
          <w:tab w:val="right" w:pos="8306"/>
        </w:tabs>
        <w:rPr>
          <w:sz w:val="20"/>
          <w:szCs w:val="20"/>
        </w:rPr>
      </w:pPr>
    </w:p>
    <w:p w:rsidR="00985AF6" w:rsidRDefault="00985AF6" w:rsidP="00081E26">
      <w:pPr>
        <w:tabs>
          <w:tab w:val="center" w:pos="4153"/>
          <w:tab w:val="right" w:pos="8306"/>
        </w:tabs>
        <w:rPr>
          <w:sz w:val="20"/>
          <w:szCs w:val="20"/>
        </w:rPr>
      </w:pPr>
    </w:p>
    <w:p w:rsidR="00561D6A" w:rsidRPr="00AE420C" w:rsidRDefault="00127D2F" w:rsidP="00081E26">
      <w:pPr>
        <w:tabs>
          <w:tab w:val="center" w:pos="4153"/>
          <w:tab w:val="right" w:pos="8306"/>
        </w:tabs>
        <w:rPr>
          <w:sz w:val="20"/>
          <w:szCs w:val="20"/>
        </w:rPr>
      </w:pPr>
      <w:r w:rsidRPr="00AE420C">
        <w:rPr>
          <w:sz w:val="20"/>
          <w:szCs w:val="20"/>
        </w:rPr>
        <w:t>0</w:t>
      </w:r>
      <w:r w:rsidR="00611CD3" w:rsidRPr="00AE420C">
        <w:rPr>
          <w:sz w:val="20"/>
          <w:szCs w:val="20"/>
        </w:rPr>
        <w:t>9</w:t>
      </w:r>
      <w:r w:rsidR="009A60A2" w:rsidRPr="00AE420C">
        <w:rPr>
          <w:sz w:val="20"/>
          <w:szCs w:val="20"/>
        </w:rPr>
        <w:t>.</w:t>
      </w:r>
      <w:r w:rsidR="00FD415A" w:rsidRPr="00AE420C">
        <w:rPr>
          <w:sz w:val="20"/>
          <w:szCs w:val="20"/>
        </w:rPr>
        <w:t>0</w:t>
      </w:r>
      <w:r w:rsidRPr="00AE420C">
        <w:rPr>
          <w:sz w:val="20"/>
          <w:szCs w:val="20"/>
        </w:rPr>
        <w:t>9</w:t>
      </w:r>
      <w:r w:rsidR="009A60A2" w:rsidRPr="00AE420C">
        <w:rPr>
          <w:sz w:val="20"/>
          <w:szCs w:val="20"/>
        </w:rPr>
        <w:t>.</w:t>
      </w:r>
      <w:r w:rsidR="00561D6A" w:rsidRPr="00AE420C">
        <w:rPr>
          <w:sz w:val="20"/>
          <w:szCs w:val="20"/>
        </w:rPr>
        <w:t>201</w:t>
      </w:r>
      <w:r w:rsidR="00FD415A" w:rsidRPr="00AE420C">
        <w:rPr>
          <w:sz w:val="20"/>
          <w:szCs w:val="20"/>
        </w:rPr>
        <w:t>5</w:t>
      </w:r>
      <w:r w:rsidR="0071610A" w:rsidRPr="00AE420C">
        <w:rPr>
          <w:sz w:val="20"/>
          <w:szCs w:val="20"/>
        </w:rPr>
        <w:t xml:space="preserve"> 11:43</w:t>
      </w:r>
    </w:p>
    <w:p w:rsidR="00913C1F" w:rsidRPr="00AE420C" w:rsidRDefault="00310F25" w:rsidP="00E531A7">
      <w:pPr>
        <w:tabs>
          <w:tab w:val="left" w:pos="2504"/>
        </w:tabs>
        <w:rPr>
          <w:sz w:val="20"/>
          <w:szCs w:val="20"/>
        </w:rPr>
      </w:pPr>
      <w:r w:rsidRPr="00AE420C">
        <w:rPr>
          <w:sz w:val="20"/>
          <w:szCs w:val="20"/>
        </w:rPr>
        <w:t>2</w:t>
      </w:r>
      <w:r w:rsidR="0049025F" w:rsidRPr="00AE420C">
        <w:rPr>
          <w:sz w:val="20"/>
          <w:szCs w:val="20"/>
        </w:rPr>
        <w:t>2</w:t>
      </w:r>
      <w:r w:rsidR="00985AF6">
        <w:rPr>
          <w:sz w:val="20"/>
          <w:szCs w:val="20"/>
        </w:rPr>
        <w:t>3</w:t>
      </w:r>
      <w:r w:rsidR="003537A6">
        <w:rPr>
          <w:sz w:val="20"/>
          <w:szCs w:val="20"/>
        </w:rPr>
        <w:t>8</w:t>
      </w:r>
    </w:p>
    <w:p w:rsidR="00913C1F" w:rsidRPr="00AE420C" w:rsidRDefault="00913C1F" w:rsidP="00913C1F">
      <w:pPr>
        <w:tabs>
          <w:tab w:val="left" w:pos="7088"/>
        </w:tabs>
        <w:jc w:val="both"/>
        <w:rPr>
          <w:sz w:val="20"/>
          <w:szCs w:val="20"/>
        </w:rPr>
      </w:pPr>
      <w:r w:rsidRPr="00AE420C">
        <w:rPr>
          <w:sz w:val="20"/>
          <w:szCs w:val="20"/>
        </w:rPr>
        <w:t xml:space="preserve">Finanšu ministrijas </w:t>
      </w:r>
    </w:p>
    <w:p w:rsidR="00913C1F" w:rsidRPr="00AE420C" w:rsidRDefault="00913C1F" w:rsidP="00913C1F">
      <w:pPr>
        <w:tabs>
          <w:tab w:val="left" w:pos="7088"/>
        </w:tabs>
        <w:jc w:val="both"/>
        <w:rPr>
          <w:sz w:val="20"/>
          <w:szCs w:val="20"/>
        </w:rPr>
      </w:pPr>
      <w:r w:rsidRPr="00AE420C">
        <w:rPr>
          <w:sz w:val="20"/>
          <w:szCs w:val="20"/>
        </w:rPr>
        <w:t>Tiešo nodokļu departamenta</w:t>
      </w:r>
    </w:p>
    <w:p w:rsidR="00913C1F" w:rsidRPr="00AE420C" w:rsidRDefault="00913C1F" w:rsidP="00913C1F">
      <w:pPr>
        <w:rPr>
          <w:sz w:val="20"/>
          <w:szCs w:val="20"/>
        </w:rPr>
      </w:pPr>
      <w:r w:rsidRPr="00AE420C">
        <w:rPr>
          <w:sz w:val="20"/>
          <w:szCs w:val="20"/>
        </w:rPr>
        <w:t xml:space="preserve">Īpašuma un iedzīvotāju ienākuma </w:t>
      </w:r>
    </w:p>
    <w:p w:rsidR="00913C1F" w:rsidRPr="00AE420C" w:rsidRDefault="00913C1F" w:rsidP="00081E26">
      <w:pPr>
        <w:tabs>
          <w:tab w:val="center" w:pos="4153"/>
          <w:tab w:val="right" w:pos="8306"/>
        </w:tabs>
        <w:rPr>
          <w:sz w:val="20"/>
          <w:szCs w:val="20"/>
        </w:rPr>
      </w:pPr>
      <w:r w:rsidRPr="00AE420C">
        <w:rPr>
          <w:sz w:val="20"/>
          <w:szCs w:val="20"/>
        </w:rPr>
        <w:t>nodokļu nodaļas vecākā referente</w:t>
      </w:r>
    </w:p>
    <w:p w:rsidR="00081E26" w:rsidRPr="00AE420C" w:rsidRDefault="00A778CE" w:rsidP="00081E26">
      <w:pPr>
        <w:tabs>
          <w:tab w:val="center" w:pos="4153"/>
          <w:tab w:val="right" w:pos="8306"/>
        </w:tabs>
        <w:rPr>
          <w:sz w:val="20"/>
          <w:szCs w:val="20"/>
        </w:rPr>
      </w:pPr>
      <w:r w:rsidRPr="00AE420C">
        <w:rPr>
          <w:sz w:val="20"/>
          <w:szCs w:val="20"/>
        </w:rPr>
        <w:t>Avotiņa</w:t>
      </w:r>
      <w:r w:rsidR="00081E26" w:rsidRPr="00AE420C">
        <w:rPr>
          <w:sz w:val="20"/>
          <w:szCs w:val="20"/>
        </w:rPr>
        <w:t>, 670</w:t>
      </w:r>
      <w:r w:rsidRPr="00AE420C">
        <w:rPr>
          <w:sz w:val="20"/>
          <w:szCs w:val="20"/>
        </w:rPr>
        <w:t>95515</w:t>
      </w:r>
    </w:p>
    <w:p w:rsidR="007A66D8" w:rsidRPr="00985AF6" w:rsidRDefault="00AD3B47" w:rsidP="00DB1D11">
      <w:pPr>
        <w:rPr>
          <w:sz w:val="20"/>
          <w:szCs w:val="20"/>
        </w:rPr>
      </w:pPr>
      <w:hyperlink r:id="rId13" w:history="1">
        <w:r w:rsidR="00592642" w:rsidRPr="00AE420C">
          <w:rPr>
            <w:color w:val="0000FF"/>
            <w:sz w:val="20"/>
            <w:szCs w:val="20"/>
            <w:u w:val="single"/>
          </w:rPr>
          <w:t>inga.avotina@fm.gov.lv</w:t>
        </w:r>
      </w:hyperlink>
    </w:p>
    <w:sectPr w:rsidR="007A66D8" w:rsidRPr="00985AF6" w:rsidSect="00F62F43">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47" w:rsidRDefault="00AD3B47">
      <w:r>
        <w:separator/>
      </w:r>
    </w:p>
  </w:endnote>
  <w:endnote w:type="continuationSeparator" w:id="0">
    <w:p w:rsidR="00AD3B47" w:rsidRDefault="00AD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3D" w:rsidRPr="005C3A2E" w:rsidRDefault="0069163D" w:rsidP="0069163D">
    <w:pPr>
      <w:pStyle w:val="naislab"/>
      <w:spacing w:before="0" w:after="0"/>
      <w:jc w:val="both"/>
      <w:rPr>
        <w:sz w:val="20"/>
        <w:szCs w:val="20"/>
      </w:rPr>
    </w:pPr>
    <w:r w:rsidRPr="005C3A2E">
      <w:rPr>
        <w:sz w:val="20"/>
        <w:szCs w:val="20"/>
      </w:rPr>
      <w:t>FMAnot_</w:t>
    </w:r>
    <w:r>
      <w:rPr>
        <w:sz w:val="20"/>
        <w:szCs w:val="20"/>
      </w:rPr>
      <w:t>0</w:t>
    </w:r>
    <w:r w:rsidR="00611CD3">
      <w:rPr>
        <w:sz w:val="20"/>
        <w:szCs w:val="20"/>
      </w:rPr>
      <w:t>9</w:t>
    </w:r>
    <w:r>
      <w:rPr>
        <w:sz w:val="20"/>
        <w:szCs w:val="20"/>
      </w:rPr>
      <w:t>09</w:t>
    </w:r>
    <w:r w:rsidRPr="005C3A2E">
      <w:rPr>
        <w:sz w:val="20"/>
        <w:szCs w:val="20"/>
      </w:rPr>
      <w:t>15_</w:t>
    </w:r>
    <w:r>
      <w:rPr>
        <w:sz w:val="20"/>
        <w:szCs w:val="20"/>
      </w:rPr>
      <w:t>I</w:t>
    </w:r>
    <w:r w:rsidR="00D23558">
      <w:rPr>
        <w:sz w:val="20"/>
        <w:szCs w:val="20"/>
      </w:rPr>
      <w:t>A</w:t>
    </w:r>
    <w:r>
      <w:rPr>
        <w:sz w:val="20"/>
        <w:szCs w:val="20"/>
      </w:rPr>
      <w:t>NNgroz</w:t>
    </w:r>
    <w:r w:rsidRPr="009D3B8A">
      <w:rPr>
        <w:sz w:val="20"/>
        <w:szCs w:val="20"/>
      </w:rPr>
      <w:t>.docx</w:t>
    </w:r>
    <w:r w:rsidRPr="005C3A2E">
      <w:rPr>
        <w:sz w:val="20"/>
        <w:szCs w:val="20"/>
      </w:rPr>
      <w:t xml:space="preserve">; Likumprojekta </w:t>
    </w:r>
    <w:r w:rsidRPr="0069163D">
      <w:rPr>
        <w:sz w:val="20"/>
        <w:szCs w:val="20"/>
      </w:rPr>
      <w:t>“Grozījumi likumā “Par izložu un azartspēļu nodevu un nodokli””</w:t>
    </w:r>
    <w:r w:rsidRPr="005C3A2E">
      <w:rPr>
        <w:sz w:val="20"/>
        <w:szCs w:val="20"/>
      </w:rPr>
      <w:t xml:space="preserve"> sākotnējās ietekmes novērtējuma ziņojums (anotācija)</w:t>
    </w:r>
  </w:p>
  <w:p w:rsidR="00314F24" w:rsidRPr="002A3822" w:rsidRDefault="00314F24" w:rsidP="00E531A7">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24" w:rsidRPr="005C3A2E" w:rsidRDefault="00314F24" w:rsidP="00E531A7">
    <w:pPr>
      <w:pStyle w:val="naislab"/>
      <w:spacing w:before="0" w:after="0"/>
      <w:jc w:val="both"/>
      <w:rPr>
        <w:sz w:val="20"/>
        <w:szCs w:val="20"/>
      </w:rPr>
    </w:pPr>
    <w:r w:rsidRPr="005C3A2E">
      <w:rPr>
        <w:sz w:val="20"/>
        <w:szCs w:val="20"/>
      </w:rPr>
      <w:t>FMAnot_</w:t>
    </w:r>
    <w:r w:rsidR="0069163D">
      <w:rPr>
        <w:sz w:val="20"/>
        <w:szCs w:val="20"/>
      </w:rPr>
      <w:t>0</w:t>
    </w:r>
    <w:r w:rsidR="00611CD3">
      <w:rPr>
        <w:sz w:val="20"/>
        <w:szCs w:val="20"/>
      </w:rPr>
      <w:t>9</w:t>
    </w:r>
    <w:r w:rsidR="000570D7">
      <w:rPr>
        <w:sz w:val="20"/>
        <w:szCs w:val="20"/>
      </w:rPr>
      <w:t>0</w:t>
    </w:r>
    <w:r w:rsidR="0069163D">
      <w:rPr>
        <w:sz w:val="20"/>
        <w:szCs w:val="20"/>
      </w:rPr>
      <w:t>9</w:t>
    </w:r>
    <w:r w:rsidRPr="005C3A2E">
      <w:rPr>
        <w:sz w:val="20"/>
        <w:szCs w:val="20"/>
      </w:rPr>
      <w:t>15_</w:t>
    </w:r>
    <w:r w:rsidR="0069163D">
      <w:rPr>
        <w:sz w:val="20"/>
        <w:szCs w:val="20"/>
      </w:rPr>
      <w:t>I</w:t>
    </w:r>
    <w:r w:rsidR="00D23558">
      <w:rPr>
        <w:sz w:val="20"/>
        <w:szCs w:val="20"/>
      </w:rPr>
      <w:t>A</w:t>
    </w:r>
    <w:r w:rsidR="0069163D">
      <w:rPr>
        <w:sz w:val="20"/>
        <w:szCs w:val="20"/>
      </w:rPr>
      <w:t>NN</w:t>
    </w:r>
    <w:r w:rsidR="00E531A7">
      <w:rPr>
        <w:sz w:val="20"/>
        <w:szCs w:val="20"/>
      </w:rPr>
      <w:t>groz</w:t>
    </w:r>
    <w:r w:rsidR="009D3B8A" w:rsidRPr="009D3B8A">
      <w:rPr>
        <w:sz w:val="20"/>
        <w:szCs w:val="20"/>
      </w:rPr>
      <w:t>.docx</w:t>
    </w:r>
    <w:r w:rsidRPr="005C3A2E">
      <w:rPr>
        <w:sz w:val="20"/>
        <w:szCs w:val="20"/>
      </w:rPr>
      <w:t xml:space="preserve">; Likumprojekta </w:t>
    </w:r>
    <w:r w:rsidR="0069163D" w:rsidRPr="0069163D">
      <w:rPr>
        <w:sz w:val="20"/>
        <w:szCs w:val="20"/>
      </w:rPr>
      <w:t>“Grozījumi likumā “Par izložu un azartspēļu nodevu un nodokli””</w:t>
    </w:r>
    <w:r w:rsidRPr="005C3A2E">
      <w:rPr>
        <w:sz w:val="20"/>
        <w:szCs w:val="20"/>
      </w:rPr>
      <w:t xml:space="preserve"> sākotnējās ietekmes novērtējuma ziņojums (anotācija)</w:t>
    </w:r>
  </w:p>
  <w:p w:rsidR="00314F24" w:rsidRPr="005C3A2E" w:rsidRDefault="00314F24" w:rsidP="005C3A2E">
    <w:pPr>
      <w:pStyle w:val="Footer"/>
      <w:rPr>
        <w:sz w:val="20"/>
        <w:szCs w:val="20"/>
      </w:rPr>
    </w:pPr>
  </w:p>
  <w:p w:rsidR="00314F24" w:rsidRDefault="0031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47" w:rsidRDefault="00AD3B47">
      <w:r>
        <w:separator/>
      </w:r>
    </w:p>
  </w:footnote>
  <w:footnote w:type="continuationSeparator" w:id="0">
    <w:p w:rsidR="00AD3B47" w:rsidRDefault="00AD3B47">
      <w:r>
        <w:continuationSeparator/>
      </w:r>
    </w:p>
  </w:footnote>
  <w:footnote w:id="1">
    <w:p w:rsidR="000430C0" w:rsidRPr="00FD35FE" w:rsidRDefault="000430C0" w:rsidP="000430C0">
      <w:r w:rsidRPr="00FD35FE">
        <w:rPr>
          <w:rStyle w:val="FootnoteReference"/>
          <w:sz w:val="20"/>
          <w:szCs w:val="20"/>
        </w:rPr>
        <w:t>1</w:t>
      </w:r>
      <w:r w:rsidRPr="00FD35FE">
        <w:t xml:space="preserve"> </w:t>
      </w:r>
      <w:hyperlink r:id="rId1" w:history="1">
        <w:r w:rsidRPr="00FD35FE">
          <w:rPr>
            <w:rStyle w:val="Hyperlink"/>
            <w:sz w:val="20"/>
            <w:szCs w:val="20"/>
          </w:rPr>
          <w:t>http://www.mendeley.com/catalog/differences-pathological-gambling-prevalence-estimates-facts-artefacts/</w:t>
        </w:r>
      </w:hyperlink>
    </w:p>
    <w:p w:rsidR="000430C0" w:rsidRDefault="000430C0" w:rsidP="000430C0">
      <w:r w:rsidRPr="0001169E">
        <w:rPr>
          <w:rStyle w:val="FootnoteReference"/>
          <w:sz w:val="20"/>
          <w:szCs w:val="20"/>
        </w:rPr>
        <w:t>2</w:t>
      </w:r>
      <w:r w:rsidRPr="0001169E">
        <w:rPr>
          <w:sz w:val="20"/>
          <w:szCs w:val="20"/>
          <w:vertAlign w:val="superscript"/>
        </w:rPr>
        <w:t xml:space="preserve"> </w:t>
      </w:r>
      <w:r w:rsidRPr="0001169E">
        <w:rPr>
          <w:rFonts w:eastAsia="Calibri"/>
          <w:sz w:val="20"/>
          <w:szCs w:val="20"/>
          <w:lang w:val="en-US"/>
        </w:rPr>
        <w:t xml:space="preserve">Research on the Social Impacts of Gambling. </w:t>
      </w:r>
      <w:r w:rsidRPr="0001169E">
        <w:rPr>
          <w:rFonts w:eastAsia="Calibri"/>
          <w:bCs/>
          <w:sz w:val="20"/>
          <w:szCs w:val="20"/>
          <w:lang w:val="en-US"/>
        </w:rPr>
        <w:t>Scottish Executive Social Research 2006</w:t>
      </w:r>
    </w:p>
  </w:footnote>
  <w:footnote w:id="2">
    <w:p w:rsidR="000430C0" w:rsidRDefault="000430C0" w:rsidP="000430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24" w:rsidRDefault="00314F2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F24" w:rsidRDefault="00314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24" w:rsidRDefault="00314F2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46C">
      <w:rPr>
        <w:rStyle w:val="PageNumber"/>
        <w:noProof/>
      </w:rPr>
      <w:t>9</w:t>
    </w:r>
    <w:r>
      <w:rPr>
        <w:rStyle w:val="PageNumber"/>
      </w:rPr>
      <w:fldChar w:fldCharType="end"/>
    </w:r>
  </w:p>
  <w:p w:rsidR="00314F24" w:rsidRDefault="00314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F4920"/>
    <w:multiLevelType w:val="hybridMultilevel"/>
    <w:tmpl w:val="51905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8E4BB9"/>
    <w:multiLevelType w:val="hybridMultilevel"/>
    <w:tmpl w:val="2646B7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0A776E"/>
    <w:multiLevelType w:val="hybridMultilevel"/>
    <w:tmpl w:val="2DC42C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DD25FA7"/>
    <w:multiLevelType w:val="hybridMultilevel"/>
    <w:tmpl w:val="B40822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B25289"/>
    <w:multiLevelType w:val="hybridMultilevel"/>
    <w:tmpl w:val="BFE8A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5416F4"/>
    <w:multiLevelType w:val="hybridMultilevel"/>
    <w:tmpl w:val="E432FFA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2EE07B5C"/>
    <w:multiLevelType w:val="hybridMultilevel"/>
    <w:tmpl w:val="A84882DA"/>
    <w:lvl w:ilvl="0" w:tplc="04090011">
      <w:start w:val="1"/>
      <w:numFmt w:val="decimal"/>
      <w:lvlText w:val="%1)"/>
      <w:lvlJc w:val="left"/>
      <w:pPr>
        <w:tabs>
          <w:tab w:val="num" w:pos="720"/>
        </w:tabs>
        <w:ind w:left="720" w:hanging="360"/>
      </w:pPr>
      <w:rPr>
        <w:rFonts w:hint="default"/>
      </w:rPr>
    </w:lvl>
    <w:lvl w:ilvl="1" w:tplc="BE2E85AC">
      <w:start w:val="1"/>
      <w:numFmt w:val="decimal"/>
      <w:lvlText w:val="2.%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D657F6"/>
    <w:multiLevelType w:val="hybridMultilevel"/>
    <w:tmpl w:val="3D4864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955B12"/>
    <w:multiLevelType w:val="hybridMultilevel"/>
    <w:tmpl w:val="455C51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F97451"/>
    <w:multiLevelType w:val="hybridMultilevel"/>
    <w:tmpl w:val="3544FF94"/>
    <w:lvl w:ilvl="0" w:tplc="40E60A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D4548"/>
    <w:multiLevelType w:val="hybridMultilevel"/>
    <w:tmpl w:val="C4BE5578"/>
    <w:lvl w:ilvl="0" w:tplc="31CCCD26">
      <w:start w:val="2"/>
      <w:numFmt w:val="bullet"/>
      <w:lvlText w:val="–"/>
      <w:lvlJc w:val="left"/>
      <w:pPr>
        <w:ind w:left="837" w:hanging="360"/>
      </w:pPr>
      <w:rPr>
        <w:rFonts w:ascii="Times New Roman" w:eastAsia="Times New Roman" w:hAnsi="Times New Roman" w:cs="Times New Roman" w:hint="default"/>
        <w:b/>
      </w:rPr>
    </w:lvl>
    <w:lvl w:ilvl="1" w:tplc="04260003" w:tentative="1">
      <w:start w:val="1"/>
      <w:numFmt w:val="bullet"/>
      <w:lvlText w:val="o"/>
      <w:lvlJc w:val="left"/>
      <w:pPr>
        <w:ind w:left="1557" w:hanging="360"/>
      </w:pPr>
      <w:rPr>
        <w:rFonts w:ascii="Courier New" w:hAnsi="Courier New" w:cs="Courier New" w:hint="default"/>
      </w:rPr>
    </w:lvl>
    <w:lvl w:ilvl="2" w:tplc="04260005" w:tentative="1">
      <w:start w:val="1"/>
      <w:numFmt w:val="bullet"/>
      <w:lvlText w:val=""/>
      <w:lvlJc w:val="left"/>
      <w:pPr>
        <w:ind w:left="2277" w:hanging="360"/>
      </w:pPr>
      <w:rPr>
        <w:rFonts w:ascii="Wingdings" w:hAnsi="Wingdings" w:hint="default"/>
      </w:rPr>
    </w:lvl>
    <w:lvl w:ilvl="3" w:tplc="04260001" w:tentative="1">
      <w:start w:val="1"/>
      <w:numFmt w:val="bullet"/>
      <w:lvlText w:val=""/>
      <w:lvlJc w:val="left"/>
      <w:pPr>
        <w:ind w:left="2997" w:hanging="360"/>
      </w:pPr>
      <w:rPr>
        <w:rFonts w:ascii="Symbol" w:hAnsi="Symbol" w:hint="default"/>
      </w:rPr>
    </w:lvl>
    <w:lvl w:ilvl="4" w:tplc="04260003" w:tentative="1">
      <w:start w:val="1"/>
      <w:numFmt w:val="bullet"/>
      <w:lvlText w:val="o"/>
      <w:lvlJc w:val="left"/>
      <w:pPr>
        <w:ind w:left="3717" w:hanging="360"/>
      </w:pPr>
      <w:rPr>
        <w:rFonts w:ascii="Courier New" w:hAnsi="Courier New" w:cs="Courier New" w:hint="default"/>
      </w:rPr>
    </w:lvl>
    <w:lvl w:ilvl="5" w:tplc="04260005" w:tentative="1">
      <w:start w:val="1"/>
      <w:numFmt w:val="bullet"/>
      <w:lvlText w:val=""/>
      <w:lvlJc w:val="left"/>
      <w:pPr>
        <w:ind w:left="4437" w:hanging="360"/>
      </w:pPr>
      <w:rPr>
        <w:rFonts w:ascii="Wingdings" w:hAnsi="Wingdings" w:hint="default"/>
      </w:rPr>
    </w:lvl>
    <w:lvl w:ilvl="6" w:tplc="04260001" w:tentative="1">
      <w:start w:val="1"/>
      <w:numFmt w:val="bullet"/>
      <w:lvlText w:val=""/>
      <w:lvlJc w:val="left"/>
      <w:pPr>
        <w:ind w:left="5157" w:hanging="360"/>
      </w:pPr>
      <w:rPr>
        <w:rFonts w:ascii="Symbol" w:hAnsi="Symbol" w:hint="default"/>
      </w:rPr>
    </w:lvl>
    <w:lvl w:ilvl="7" w:tplc="04260003" w:tentative="1">
      <w:start w:val="1"/>
      <w:numFmt w:val="bullet"/>
      <w:lvlText w:val="o"/>
      <w:lvlJc w:val="left"/>
      <w:pPr>
        <w:ind w:left="5877" w:hanging="360"/>
      </w:pPr>
      <w:rPr>
        <w:rFonts w:ascii="Courier New" w:hAnsi="Courier New" w:cs="Courier New" w:hint="default"/>
      </w:rPr>
    </w:lvl>
    <w:lvl w:ilvl="8" w:tplc="04260005" w:tentative="1">
      <w:start w:val="1"/>
      <w:numFmt w:val="bullet"/>
      <w:lvlText w:val=""/>
      <w:lvlJc w:val="left"/>
      <w:pPr>
        <w:ind w:left="6597" w:hanging="360"/>
      </w:pPr>
      <w:rPr>
        <w:rFonts w:ascii="Wingdings" w:hAnsi="Wingdings" w:hint="default"/>
      </w:rPr>
    </w:lvl>
  </w:abstractNum>
  <w:abstractNum w:abstractNumId="2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745CB4"/>
    <w:multiLevelType w:val="hybridMultilevel"/>
    <w:tmpl w:val="2E5A7E76"/>
    <w:lvl w:ilvl="0" w:tplc="04090011">
      <w:start w:val="1"/>
      <w:numFmt w:val="decimal"/>
      <w:lvlText w:val="%1)"/>
      <w:lvlJc w:val="left"/>
      <w:pPr>
        <w:tabs>
          <w:tab w:val="num" w:pos="720"/>
        </w:tabs>
        <w:ind w:left="720" w:hanging="360"/>
      </w:pPr>
      <w:rPr>
        <w:rFonts w:hint="default"/>
      </w:rPr>
    </w:lvl>
    <w:lvl w:ilvl="1" w:tplc="6CDEDF2C">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0E4DC6"/>
    <w:multiLevelType w:val="hybridMultilevel"/>
    <w:tmpl w:val="03AC3664"/>
    <w:lvl w:ilvl="0" w:tplc="E1D407B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A23520"/>
    <w:multiLevelType w:val="hybridMultilevel"/>
    <w:tmpl w:val="7286EC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2B29AA"/>
    <w:multiLevelType w:val="hybridMultilevel"/>
    <w:tmpl w:val="362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61AB7"/>
    <w:multiLevelType w:val="hybridMultilevel"/>
    <w:tmpl w:val="32E2677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nsid w:val="762A019B"/>
    <w:multiLevelType w:val="hybridMultilevel"/>
    <w:tmpl w:val="039A91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AE31DA"/>
    <w:multiLevelType w:val="hybridMultilevel"/>
    <w:tmpl w:val="79122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CCA1A1E"/>
    <w:multiLevelType w:val="hybridMultilevel"/>
    <w:tmpl w:val="B7501E96"/>
    <w:lvl w:ilvl="0" w:tplc="D3CCB5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07FB5"/>
    <w:multiLevelType w:val="hybridMultilevel"/>
    <w:tmpl w:val="64E887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F0253C6"/>
    <w:multiLevelType w:val="hybridMultilevel"/>
    <w:tmpl w:val="AC4C80DE"/>
    <w:lvl w:ilvl="0" w:tplc="A8762F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8"/>
  </w:num>
  <w:num w:numId="4">
    <w:abstractNumId w:val="6"/>
  </w:num>
  <w:num w:numId="5">
    <w:abstractNumId w:val="2"/>
  </w:num>
  <w:num w:numId="6">
    <w:abstractNumId w:val="22"/>
  </w:num>
  <w:num w:numId="7">
    <w:abstractNumId w:val="30"/>
  </w:num>
  <w:num w:numId="8">
    <w:abstractNumId w:val="18"/>
  </w:num>
  <w:num w:numId="9">
    <w:abstractNumId w:val="7"/>
  </w:num>
  <w:num w:numId="10">
    <w:abstractNumId w:val="19"/>
  </w:num>
  <w:num w:numId="11">
    <w:abstractNumId w:val="21"/>
  </w:num>
  <w:num w:numId="12">
    <w:abstractNumId w:val="25"/>
  </w:num>
  <w:num w:numId="13">
    <w:abstractNumId w:val="28"/>
  </w:num>
  <w:num w:numId="14">
    <w:abstractNumId w:val="0"/>
  </w:num>
  <w:num w:numId="15">
    <w:abstractNumId w:val="12"/>
  </w:num>
  <w:num w:numId="16">
    <w:abstractNumId w:val="14"/>
  </w:num>
  <w:num w:numId="17">
    <w:abstractNumId w:val="26"/>
  </w:num>
  <w:num w:numId="18">
    <w:abstractNumId w:val="36"/>
  </w:num>
  <w:num w:numId="19">
    <w:abstractNumId w:val="32"/>
  </w:num>
  <w:num w:numId="20">
    <w:abstractNumId w:val="27"/>
  </w:num>
  <w:num w:numId="21">
    <w:abstractNumId w:val="16"/>
  </w:num>
  <w:num w:numId="22">
    <w:abstractNumId w:val="1"/>
  </w:num>
  <w:num w:numId="23">
    <w:abstractNumId w:val="3"/>
  </w:num>
  <w:num w:numId="24">
    <w:abstractNumId w:val="3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23"/>
  </w:num>
  <w:num w:numId="30">
    <w:abstractNumId w:val="13"/>
  </w:num>
  <w:num w:numId="31">
    <w:abstractNumId w:val="17"/>
  </w:num>
  <w:num w:numId="32">
    <w:abstractNumId w:val="20"/>
  </w:num>
  <w:num w:numId="33">
    <w:abstractNumId w:val="37"/>
  </w:num>
  <w:num w:numId="34">
    <w:abstractNumId w:val="15"/>
  </w:num>
  <w:num w:numId="35">
    <w:abstractNumId w:val="10"/>
  </w:num>
  <w:num w:numId="36">
    <w:abstractNumId w:val="24"/>
  </w:num>
  <w:num w:numId="37">
    <w:abstractNumId w:val="9"/>
  </w:num>
  <w:num w:numId="38">
    <w:abstractNumId w:val="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46F0"/>
    <w:rsid w:val="00005687"/>
    <w:rsid w:val="00005C14"/>
    <w:rsid w:val="0000641C"/>
    <w:rsid w:val="00011C00"/>
    <w:rsid w:val="00011D24"/>
    <w:rsid w:val="00013897"/>
    <w:rsid w:val="00013FF4"/>
    <w:rsid w:val="00015213"/>
    <w:rsid w:val="000152CA"/>
    <w:rsid w:val="00017EAF"/>
    <w:rsid w:val="00020FE1"/>
    <w:rsid w:val="00021A36"/>
    <w:rsid w:val="00022E13"/>
    <w:rsid w:val="000253E7"/>
    <w:rsid w:val="0002627A"/>
    <w:rsid w:val="00027394"/>
    <w:rsid w:val="000276CC"/>
    <w:rsid w:val="0002796D"/>
    <w:rsid w:val="00027AAE"/>
    <w:rsid w:val="00031019"/>
    <w:rsid w:val="00032388"/>
    <w:rsid w:val="00032E59"/>
    <w:rsid w:val="00033208"/>
    <w:rsid w:val="0003426A"/>
    <w:rsid w:val="000347CE"/>
    <w:rsid w:val="0003506F"/>
    <w:rsid w:val="00035CE2"/>
    <w:rsid w:val="00035DDF"/>
    <w:rsid w:val="00037679"/>
    <w:rsid w:val="00037AB9"/>
    <w:rsid w:val="00037DAC"/>
    <w:rsid w:val="000430C0"/>
    <w:rsid w:val="00044BBA"/>
    <w:rsid w:val="0004788D"/>
    <w:rsid w:val="00047CD8"/>
    <w:rsid w:val="00053981"/>
    <w:rsid w:val="00053EE5"/>
    <w:rsid w:val="0005553B"/>
    <w:rsid w:val="00055683"/>
    <w:rsid w:val="0005652F"/>
    <w:rsid w:val="000570D7"/>
    <w:rsid w:val="000604D2"/>
    <w:rsid w:val="00060A5B"/>
    <w:rsid w:val="00061587"/>
    <w:rsid w:val="00065241"/>
    <w:rsid w:val="00066491"/>
    <w:rsid w:val="00066A20"/>
    <w:rsid w:val="00066C4F"/>
    <w:rsid w:val="00067312"/>
    <w:rsid w:val="000675A9"/>
    <w:rsid w:val="00070D7A"/>
    <w:rsid w:val="00071CAB"/>
    <w:rsid w:val="000724F5"/>
    <w:rsid w:val="00074B12"/>
    <w:rsid w:val="0007635E"/>
    <w:rsid w:val="00077010"/>
    <w:rsid w:val="00080AD1"/>
    <w:rsid w:val="00081697"/>
    <w:rsid w:val="00081E26"/>
    <w:rsid w:val="00086D45"/>
    <w:rsid w:val="00087A8F"/>
    <w:rsid w:val="0009005E"/>
    <w:rsid w:val="00090BFB"/>
    <w:rsid w:val="00090DFB"/>
    <w:rsid w:val="00093303"/>
    <w:rsid w:val="000941C5"/>
    <w:rsid w:val="000955C2"/>
    <w:rsid w:val="000971F9"/>
    <w:rsid w:val="00097549"/>
    <w:rsid w:val="000A04AC"/>
    <w:rsid w:val="000A0F62"/>
    <w:rsid w:val="000A1296"/>
    <w:rsid w:val="000A3B0F"/>
    <w:rsid w:val="000A4857"/>
    <w:rsid w:val="000A4B0E"/>
    <w:rsid w:val="000A512E"/>
    <w:rsid w:val="000A6451"/>
    <w:rsid w:val="000B064E"/>
    <w:rsid w:val="000B0C7C"/>
    <w:rsid w:val="000B18ED"/>
    <w:rsid w:val="000B65D1"/>
    <w:rsid w:val="000B69CF"/>
    <w:rsid w:val="000B7357"/>
    <w:rsid w:val="000C16C1"/>
    <w:rsid w:val="000C1E30"/>
    <w:rsid w:val="000C5398"/>
    <w:rsid w:val="000C6DD5"/>
    <w:rsid w:val="000C788D"/>
    <w:rsid w:val="000C790C"/>
    <w:rsid w:val="000D2D6C"/>
    <w:rsid w:val="000D3AED"/>
    <w:rsid w:val="000D3D48"/>
    <w:rsid w:val="000D452C"/>
    <w:rsid w:val="000D5A7F"/>
    <w:rsid w:val="000D7A09"/>
    <w:rsid w:val="000E0223"/>
    <w:rsid w:val="000E0375"/>
    <w:rsid w:val="000E6A1E"/>
    <w:rsid w:val="000F061D"/>
    <w:rsid w:val="000F1982"/>
    <w:rsid w:val="000F4794"/>
    <w:rsid w:val="000F4C8A"/>
    <w:rsid w:val="00100EF9"/>
    <w:rsid w:val="001010FC"/>
    <w:rsid w:val="00102C2B"/>
    <w:rsid w:val="001032CB"/>
    <w:rsid w:val="00105059"/>
    <w:rsid w:val="00110138"/>
    <w:rsid w:val="00114C69"/>
    <w:rsid w:val="00115838"/>
    <w:rsid w:val="00117E30"/>
    <w:rsid w:val="00122E9E"/>
    <w:rsid w:val="00124F12"/>
    <w:rsid w:val="00127D2F"/>
    <w:rsid w:val="00131561"/>
    <w:rsid w:val="00131773"/>
    <w:rsid w:val="001326BD"/>
    <w:rsid w:val="001347F7"/>
    <w:rsid w:val="00136A48"/>
    <w:rsid w:val="00136ACE"/>
    <w:rsid w:val="00137719"/>
    <w:rsid w:val="00140F3C"/>
    <w:rsid w:val="00141024"/>
    <w:rsid w:val="001417B4"/>
    <w:rsid w:val="00141DD6"/>
    <w:rsid w:val="0014222F"/>
    <w:rsid w:val="00142604"/>
    <w:rsid w:val="00144E3A"/>
    <w:rsid w:val="00146F25"/>
    <w:rsid w:val="0015060C"/>
    <w:rsid w:val="001528E7"/>
    <w:rsid w:val="00154266"/>
    <w:rsid w:val="00155FF1"/>
    <w:rsid w:val="001579ED"/>
    <w:rsid w:val="0016018A"/>
    <w:rsid w:val="001605B5"/>
    <w:rsid w:val="00161F0E"/>
    <w:rsid w:val="00165B11"/>
    <w:rsid w:val="00165F26"/>
    <w:rsid w:val="0016758D"/>
    <w:rsid w:val="001679AF"/>
    <w:rsid w:val="001706DF"/>
    <w:rsid w:val="00170E2A"/>
    <w:rsid w:val="001713F3"/>
    <w:rsid w:val="001717AD"/>
    <w:rsid w:val="001734BD"/>
    <w:rsid w:val="001740F7"/>
    <w:rsid w:val="0017563B"/>
    <w:rsid w:val="00177394"/>
    <w:rsid w:val="0018224F"/>
    <w:rsid w:val="00182C18"/>
    <w:rsid w:val="001835CD"/>
    <w:rsid w:val="00183CC2"/>
    <w:rsid w:val="0018483D"/>
    <w:rsid w:val="001900E4"/>
    <w:rsid w:val="00190224"/>
    <w:rsid w:val="00190F88"/>
    <w:rsid w:val="001917DF"/>
    <w:rsid w:val="00192DDB"/>
    <w:rsid w:val="00195378"/>
    <w:rsid w:val="00197064"/>
    <w:rsid w:val="001A086B"/>
    <w:rsid w:val="001A1EE4"/>
    <w:rsid w:val="001A2E25"/>
    <w:rsid w:val="001A4066"/>
    <w:rsid w:val="001A48B2"/>
    <w:rsid w:val="001A68E2"/>
    <w:rsid w:val="001A6AE4"/>
    <w:rsid w:val="001A769D"/>
    <w:rsid w:val="001A7B2D"/>
    <w:rsid w:val="001B01FD"/>
    <w:rsid w:val="001B1A87"/>
    <w:rsid w:val="001B3650"/>
    <w:rsid w:val="001B3C20"/>
    <w:rsid w:val="001B4A71"/>
    <w:rsid w:val="001B5D73"/>
    <w:rsid w:val="001B6D3E"/>
    <w:rsid w:val="001B6D4E"/>
    <w:rsid w:val="001C0EAC"/>
    <w:rsid w:val="001C1E10"/>
    <w:rsid w:val="001C612F"/>
    <w:rsid w:val="001D0096"/>
    <w:rsid w:val="001D166B"/>
    <w:rsid w:val="001D1780"/>
    <w:rsid w:val="001D1B8D"/>
    <w:rsid w:val="001D25B7"/>
    <w:rsid w:val="001D36B9"/>
    <w:rsid w:val="001D390F"/>
    <w:rsid w:val="001D40C2"/>
    <w:rsid w:val="001D508F"/>
    <w:rsid w:val="001D5B54"/>
    <w:rsid w:val="001D7086"/>
    <w:rsid w:val="001D79C3"/>
    <w:rsid w:val="001E1DBF"/>
    <w:rsid w:val="001E225F"/>
    <w:rsid w:val="001E3070"/>
    <w:rsid w:val="001E31D5"/>
    <w:rsid w:val="001E4639"/>
    <w:rsid w:val="001E4A7D"/>
    <w:rsid w:val="001E59E0"/>
    <w:rsid w:val="001E5F02"/>
    <w:rsid w:val="001E6D57"/>
    <w:rsid w:val="001F4209"/>
    <w:rsid w:val="001F43A8"/>
    <w:rsid w:val="001F5CD6"/>
    <w:rsid w:val="00200CC7"/>
    <w:rsid w:val="00202D9C"/>
    <w:rsid w:val="00204054"/>
    <w:rsid w:val="00204489"/>
    <w:rsid w:val="00205A40"/>
    <w:rsid w:val="00206600"/>
    <w:rsid w:val="0020681D"/>
    <w:rsid w:val="00207D26"/>
    <w:rsid w:val="00210D0B"/>
    <w:rsid w:val="0021263D"/>
    <w:rsid w:val="00213B66"/>
    <w:rsid w:val="00213F0C"/>
    <w:rsid w:val="00214094"/>
    <w:rsid w:val="0021592D"/>
    <w:rsid w:val="00215A98"/>
    <w:rsid w:val="00220B21"/>
    <w:rsid w:val="00222D76"/>
    <w:rsid w:val="00223507"/>
    <w:rsid w:val="002237B3"/>
    <w:rsid w:val="00223EB1"/>
    <w:rsid w:val="002257D7"/>
    <w:rsid w:val="002259E6"/>
    <w:rsid w:val="00225F18"/>
    <w:rsid w:val="00231344"/>
    <w:rsid w:val="00233198"/>
    <w:rsid w:val="0023436E"/>
    <w:rsid w:val="002347C0"/>
    <w:rsid w:val="00241A6C"/>
    <w:rsid w:val="00241E65"/>
    <w:rsid w:val="0024252D"/>
    <w:rsid w:val="00242CD0"/>
    <w:rsid w:val="00242D2B"/>
    <w:rsid w:val="00243A99"/>
    <w:rsid w:val="00244A4F"/>
    <w:rsid w:val="00244F3C"/>
    <w:rsid w:val="00246529"/>
    <w:rsid w:val="002479DC"/>
    <w:rsid w:val="00247D3C"/>
    <w:rsid w:val="00250B39"/>
    <w:rsid w:val="00250B3E"/>
    <w:rsid w:val="00250FE2"/>
    <w:rsid w:val="00251ADB"/>
    <w:rsid w:val="00251B32"/>
    <w:rsid w:val="00252AAD"/>
    <w:rsid w:val="002542DA"/>
    <w:rsid w:val="002579DF"/>
    <w:rsid w:val="00262E2B"/>
    <w:rsid w:val="00263271"/>
    <w:rsid w:val="0026366B"/>
    <w:rsid w:val="002637EF"/>
    <w:rsid w:val="00263AFB"/>
    <w:rsid w:val="002640EA"/>
    <w:rsid w:val="00264CDB"/>
    <w:rsid w:val="00270429"/>
    <w:rsid w:val="002723E9"/>
    <w:rsid w:val="00272BD0"/>
    <w:rsid w:val="00272FF4"/>
    <w:rsid w:val="00275E08"/>
    <w:rsid w:val="00276269"/>
    <w:rsid w:val="00277929"/>
    <w:rsid w:val="002818DF"/>
    <w:rsid w:val="002820A2"/>
    <w:rsid w:val="002824DE"/>
    <w:rsid w:val="00283255"/>
    <w:rsid w:val="00283876"/>
    <w:rsid w:val="00283B82"/>
    <w:rsid w:val="002840FD"/>
    <w:rsid w:val="0028469F"/>
    <w:rsid w:val="002846E9"/>
    <w:rsid w:val="00284C34"/>
    <w:rsid w:val="00286F93"/>
    <w:rsid w:val="0029066C"/>
    <w:rsid w:val="00290CE3"/>
    <w:rsid w:val="00294B19"/>
    <w:rsid w:val="00295E7E"/>
    <w:rsid w:val="00297969"/>
    <w:rsid w:val="002A1F80"/>
    <w:rsid w:val="002A2A34"/>
    <w:rsid w:val="002A2A41"/>
    <w:rsid w:val="002A3822"/>
    <w:rsid w:val="002A3E3E"/>
    <w:rsid w:val="002A50A8"/>
    <w:rsid w:val="002A50A9"/>
    <w:rsid w:val="002A6E1E"/>
    <w:rsid w:val="002A6EB1"/>
    <w:rsid w:val="002B04AE"/>
    <w:rsid w:val="002B0982"/>
    <w:rsid w:val="002B10D4"/>
    <w:rsid w:val="002B18C8"/>
    <w:rsid w:val="002B3D64"/>
    <w:rsid w:val="002B50DB"/>
    <w:rsid w:val="002C06D0"/>
    <w:rsid w:val="002C0EB9"/>
    <w:rsid w:val="002C10A7"/>
    <w:rsid w:val="002C12AB"/>
    <w:rsid w:val="002C141E"/>
    <w:rsid w:val="002C1CC0"/>
    <w:rsid w:val="002C279D"/>
    <w:rsid w:val="002C57D6"/>
    <w:rsid w:val="002C5C60"/>
    <w:rsid w:val="002C69D8"/>
    <w:rsid w:val="002C7814"/>
    <w:rsid w:val="002C7CAC"/>
    <w:rsid w:val="002D2C2B"/>
    <w:rsid w:val="002D3306"/>
    <w:rsid w:val="002D3418"/>
    <w:rsid w:val="002D4244"/>
    <w:rsid w:val="002D4309"/>
    <w:rsid w:val="002D48AA"/>
    <w:rsid w:val="002D5D5A"/>
    <w:rsid w:val="002D7875"/>
    <w:rsid w:val="002D7BAA"/>
    <w:rsid w:val="002D7DC7"/>
    <w:rsid w:val="002D7F54"/>
    <w:rsid w:val="002E0356"/>
    <w:rsid w:val="002E1BE1"/>
    <w:rsid w:val="002E33E1"/>
    <w:rsid w:val="002E37E7"/>
    <w:rsid w:val="002E3A07"/>
    <w:rsid w:val="002E3FF4"/>
    <w:rsid w:val="002E4126"/>
    <w:rsid w:val="002E58F6"/>
    <w:rsid w:val="002E710A"/>
    <w:rsid w:val="002F062D"/>
    <w:rsid w:val="002F063B"/>
    <w:rsid w:val="002F1899"/>
    <w:rsid w:val="002F4FF3"/>
    <w:rsid w:val="002F5A71"/>
    <w:rsid w:val="002F5FDC"/>
    <w:rsid w:val="002F7078"/>
    <w:rsid w:val="002F759C"/>
    <w:rsid w:val="002F78C8"/>
    <w:rsid w:val="003006CA"/>
    <w:rsid w:val="00301CF3"/>
    <w:rsid w:val="003032C1"/>
    <w:rsid w:val="00303F8C"/>
    <w:rsid w:val="00304034"/>
    <w:rsid w:val="003040EA"/>
    <w:rsid w:val="00304BA6"/>
    <w:rsid w:val="0030583F"/>
    <w:rsid w:val="00306656"/>
    <w:rsid w:val="0030773A"/>
    <w:rsid w:val="00310F25"/>
    <w:rsid w:val="00314240"/>
    <w:rsid w:val="00314F24"/>
    <w:rsid w:val="00317765"/>
    <w:rsid w:val="00317E3A"/>
    <w:rsid w:val="00321247"/>
    <w:rsid w:val="00321258"/>
    <w:rsid w:val="0032715C"/>
    <w:rsid w:val="00334E28"/>
    <w:rsid w:val="00336035"/>
    <w:rsid w:val="003369B8"/>
    <w:rsid w:val="00336B3B"/>
    <w:rsid w:val="00337CA5"/>
    <w:rsid w:val="00340878"/>
    <w:rsid w:val="0034270B"/>
    <w:rsid w:val="00347BD1"/>
    <w:rsid w:val="00347F4A"/>
    <w:rsid w:val="00351F16"/>
    <w:rsid w:val="003531D2"/>
    <w:rsid w:val="00353497"/>
    <w:rsid w:val="003537A6"/>
    <w:rsid w:val="00355250"/>
    <w:rsid w:val="00362478"/>
    <w:rsid w:val="0036271D"/>
    <w:rsid w:val="00363E79"/>
    <w:rsid w:val="00363EF3"/>
    <w:rsid w:val="00364AC1"/>
    <w:rsid w:val="00366878"/>
    <w:rsid w:val="00367019"/>
    <w:rsid w:val="00370332"/>
    <w:rsid w:val="003730C8"/>
    <w:rsid w:val="00374316"/>
    <w:rsid w:val="00375B25"/>
    <w:rsid w:val="003807FF"/>
    <w:rsid w:val="003810D8"/>
    <w:rsid w:val="0038132C"/>
    <w:rsid w:val="00381427"/>
    <w:rsid w:val="003827AA"/>
    <w:rsid w:val="00383EB3"/>
    <w:rsid w:val="003844D0"/>
    <w:rsid w:val="00384E1B"/>
    <w:rsid w:val="00386242"/>
    <w:rsid w:val="003878A9"/>
    <w:rsid w:val="00390165"/>
    <w:rsid w:val="00390D8B"/>
    <w:rsid w:val="00393068"/>
    <w:rsid w:val="00393C30"/>
    <w:rsid w:val="00396542"/>
    <w:rsid w:val="0039685B"/>
    <w:rsid w:val="003976FE"/>
    <w:rsid w:val="003979F3"/>
    <w:rsid w:val="00397F62"/>
    <w:rsid w:val="003A03FA"/>
    <w:rsid w:val="003A31A6"/>
    <w:rsid w:val="003A3C61"/>
    <w:rsid w:val="003A3E50"/>
    <w:rsid w:val="003A588E"/>
    <w:rsid w:val="003A6A3C"/>
    <w:rsid w:val="003A7F0C"/>
    <w:rsid w:val="003A7F79"/>
    <w:rsid w:val="003B1AAB"/>
    <w:rsid w:val="003B2B9F"/>
    <w:rsid w:val="003B426E"/>
    <w:rsid w:val="003B6404"/>
    <w:rsid w:val="003B67A2"/>
    <w:rsid w:val="003B6BD1"/>
    <w:rsid w:val="003B75A0"/>
    <w:rsid w:val="003B787E"/>
    <w:rsid w:val="003B7A19"/>
    <w:rsid w:val="003C35C6"/>
    <w:rsid w:val="003C449B"/>
    <w:rsid w:val="003C4EF9"/>
    <w:rsid w:val="003C6409"/>
    <w:rsid w:val="003D21FF"/>
    <w:rsid w:val="003D698A"/>
    <w:rsid w:val="003E3315"/>
    <w:rsid w:val="003E472D"/>
    <w:rsid w:val="003E5EB7"/>
    <w:rsid w:val="003F010A"/>
    <w:rsid w:val="003F0112"/>
    <w:rsid w:val="003F071A"/>
    <w:rsid w:val="003F160B"/>
    <w:rsid w:val="003F16C5"/>
    <w:rsid w:val="003F1E50"/>
    <w:rsid w:val="003F22B2"/>
    <w:rsid w:val="003F3CAE"/>
    <w:rsid w:val="003F4D77"/>
    <w:rsid w:val="003F550F"/>
    <w:rsid w:val="003F7754"/>
    <w:rsid w:val="003F7E9E"/>
    <w:rsid w:val="00400032"/>
    <w:rsid w:val="00400B5B"/>
    <w:rsid w:val="00403825"/>
    <w:rsid w:val="004056ED"/>
    <w:rsid w:val="00405A00"/>
    <w:rsid w:val="00405DDD"/>
    <w:rsid w:val="00410246"/>
    <w:rsid w:val="00413396"/>
    <w:rsid w:val="004179DE"/>
    <w:rsid w:val="00420870"/>
    <w:rsid w:val="00423743"/>
    <w:rsid w:val="00423F96"/>
    <w:rsid w:val="00424863"/>
    <w:rsid w:val="004268F6"/>
    <w:rsid w:val="004279C3"/>
    <w:rsid w:val="00427BAB"/>
    <w:rsid w:val="00427C10"/>
    <w:rsid w:val="00431F1B"/>
    <w:rsid w:val="00432422"/>
    <w:rsid w:val="00432D0C"/>
    <w:rsid w:val="0043791B"/>
    <w:rsid w:val="00440FC7"/>
    <w:rsid w:val="00441187"/>
    <w:rsid w:val="00441483"/>
    <w:rsid w:val="00441BCB"/>
    <w:rsid w:val="00443768"/>
    <w:rsid w:val="004446FC"/>
    <w:rsid w:val="004466D5"/>
    <w:rsid w:val="00446728"/>
    <w:rsid w:val="00446D59"/>
    <w:rsid w:val="0045176A"/>
    <w:rsid w:val="00451928"/>
    <w:rsid w:val="0045202F"/>
    <w:rsid w:val="00454181"/>
    <w:rsid w:val="00456332"/>
    <w:rsid w:val="00456663"/>
    <w:rsid w:val="00456A48"/>
    <w:rsid w:val="004609DA"/>
    <w:rsid w:val="00461826"/>
    <w:rsid w:val="00462363"/>
    <w:rsid w:val="0046667C"/>
    <w:rsid w:val="00467AB5"/>
    <w:rsid w:val="00467DD9"/>
    <w:rsid w:val="004704CE"/>
    <w:rsid w:val="00470B42"/>
    <w:rsid w:val="004716DD"/>
    <w:rsid w:val="004716ED"/>
    <w:rsid w:val="00471BD8"/>
    <w:rsid w:val="0047358D"/>
    <w:rsid w:val="004735D3"/>
    <w:rsid w:val="00475519"/>
    <w:rsid w:val="00475AF2"/>
    <w:rsid w:val="00477692"/>
    <w:rsid w:val="0047781E"/>
    <w:rsid w:val="004800F9"/>
    <w:rsid w:val="004805F3"/>
    <w:rsid w:val="00480910"/>
    <w:rsid w:val="00481207"/>
    <w:rsid w:val="004831FD"/>
    <w:rsid w:val="0048341B"/>
    <w:rsid w:val="00484F81"/>
    <w:rsid w:val="0048541B"/>
    <w:rsid w:val="00485A7D"/>
    <w:rsid w:val="00486FDD"/>
    <w:rsid w:val="0049025F"/>
    <w:rsid w:val="0049042C"/>
    <w:rsid w:val="00490620"/>
    <w:rsid w:val="004907C5"/>
    <w:rsid w:val="0049134A"/>
    <w:rsid w:val="00491694"/>
    <w:rsid w:val="004918A5"/>
    <w:rsid w:val="004942C6"/>
    <w:rsid w:val="00494343"/>
    <w:rsid w:val="00497099"/>
    <w:rsid w:val="004A1137"/>
    <w:rsid w:val="004A188C"/>
    <w:rsid w:val="004A33D1"/>
    <w:rsid w:val="004A414D"/>
    <w:rsid w:val="004A53F8"/>
    <w:rsid w:val="004A58CB"/>
    <w:rsid w:val="004B1795"/>
    <w:rsid w:val="004B56DD"/>
    <w:rsid w:val="004B5A9A"/>
    <w:rsid w:val="004B5B0C"/>
    <w:rsid w:val="004B628A"/>
    <w:rsid w:val="004B6B4A"/>
    <w:rsid w:val="004B7392"/>
    <w:rsid w:val="004C020F"/>
    <w:rsid w:val="004C1A2F"/>
    <w:rsid w:val="004C1AFD"/>
    <w:rsid w:val="004C3F93"/>
    <w:rsid w:val="004C46A8"/>
    <w:rsid w:val="004C46EB"/>
    <w:rsid w:val="004C49D2"/>
    <w:rsid w:val="004C558B"/>
    <w:rsid w:val="004C7A0E"/>
    <w:rsid w:val="004D3A0D"/>
    <w:rsid w:val="004D492F"/>
    <w:rsid w:val="004D526B"/>
    <w:rsid w:val="004D564C"/>
    <w:rsid w:val="004D5C7F"/>
    <w:rsid w:val="004D7223"/>
    <w:rsid w:val="004E248E"/>
    <w:rsid w:val="004E2E8D"/>
    <w:rsid w:val="004E62F2"/>
    <w:rsid w:val="004E6B0C"/>
    <w:rsid w:val="004E6B86"/>
    <w:rsid w:val="004F1F88"/>
    <w:rsid w:val="004F28A8"/>
    <w:rsid w:val="004F304C"/>
    <w:rsid w:val="004F3B5E"/>
    <w:rsid w:val="004F4D03"/>
    <w:rsid w:val="004F4EE4"/>
    <w:rsid w:val="004F5F1B"/>
    <w:rsid w:val="00500A28"/>
    <w:rsid w:val="00501501"/>
    <w:rsid w:val="0050200D"/>
    <w:rsid w:val="00502374"/>
    <w:rsid w:val="005026E7"/>
    <w:rsid w:val="005037C5"/>
    <w:rsid w:val="0050519E"/>
    <w:rsid w:val="005060A1"/>
    <w:rsid w:val="005068D0"/>
    <w:rsid w:val="00506F1D"/>
    <w:rsid w:val="0051005B"/>
    <w:rsid w:val="0051393A"/>
    <w:rsid w:val="0051401D"/>
    <w:rsid w:val="005156F3"/>
    <w:rsid w:val="00516072"/>
    <w:rsid w:val="00516191"/>
    <w:rsid w:val="00517BD2"/>
    <w:rsid w:val="00527517"/>
    <w:rsid w:val="00530649"/>
    <w:rsid w:val="0053070D"/>
    <w:rsid w:val="00530A94"/>
    <w:rsid w:val="00531404"/>
    <w:rsid w:val="005332EC"/>
    <w:rsid w:val="00534418"/>
    <w:rsid w:val="005353AB"/>
    <w:rsid w:val="005359C8"/>
    <w:rsid w:val="00535E98"/>
    <w:rsid w:val="00536656"/>
    <w:rsid w:val="00536B82"/>
    <w:rsid w:val="00537A45"/>
    <w:rsid w:val="00537BBC"/>
    <w:rsid w:val="00540E6A"/>
    <w:rsid w:val="00541C43"/>
    <w:rsid w:val="00544253"/>
    <w:rsid w:val="005447D3"/>
    <w:rsid w:val="005472B8"/>
    <w:rsid w:val="005542A6"/>
    <w:rsid w:val="00554F08"/>
    <w:rsid w:val="00555223"/>
    <w:rsid w:val="00555391"/>
    <w:rsid w:val="005560BC"/>
    <w:rsid w:val="0055710F"/>
    <w:rsid w:val="005573BE"/>
    <w:rsid w:val="0056123C"/>
    <w:rsid w:val="00561A25"/>
    <w:rsid w:val="00561D6A"/>
    <w:rsid w:val="00562633"/>
    <w:rsid w:val="00564746"/>
    <w:rsid w:val="00567066"/>
    <w:rsid w:val="00567A27"/>
    <w:rsid w:val="00567BAF"/>
    <w:rsid w:val="00570147"/>
    <w:rsid w:val="00572700"/>
    <w:rsid w:val="005739B0"/>
    <w:rsid w:val="00574941"/>
    <w:rsid w:val="00580468"/>
    <w:rsid w:val="0058121F"/>
    <w:rsid w:val="00582231"/>
    <w:rsid w:val="005826AC"/>
    <w:rsid w:val="00582C3D"/>
    <w:rsid w:val="00583F9F"/>
    <w:rsid w:val="00586015"/>
    <w:rsid w:val="0058603B"/>
    <w:rsid w:val="00587D60"/>
    <w:rsid w:val="00592642"/>
    <w:rsid w:val="005932B9"/>
    <w:rsid w:val="00593888"/>
    <w:rsid w:val="00594173"/>
    <w:rsid w:val="00594229"/>
    <w:rsid w:val="0059431B"/>
    <w:rsid w:val="005A1515"/>
    <w:rsid w:val="005A36A8"/>
    <w:rsid w:val="005A38C3"/>
    <w:rsid w:val="005A39CC"/>
    <w:rsid w:val="005A414F"/>
    <w:rsid w:val="005A44ED"/>
    <w:rsid w:val="005A4ADC"/>
    <w:rsid w:val="005A5FEF"/>
    <w:rsid w:val="005A6055"/>
    <w:rsid w:val="005B0D8F"/>
    <w:rsid w:val="005B4730"/>
    <w:rsid w:val="005B7AD5"/>
    <w:rsid w:val="005C0006"/>
    <w:rsid w:val="005C08EA"/>
    <w:rsid w:val="005C08F8"/>
    <w:rsid w:val="005C3513"/>
    <w:rsid w:val="005C3A2E"/>
    <w:rsid w:val="005C3CCC"/>
    <w:rsid w:val="005C3EA2"/>
    <w:rsid w:val="005C4865"/>
    <w:rsid w:val="005C5472"/>
    <w:rsid w:val="005C6979"/>
    <w:rsid w:val="005D17D7"/>
    <w:rsid w:val="005D27DE"/>
    <w:rsid w:val="005D4801"/>
    <w:rsid w:val="005D7240"/>
    <w:rsid w:val="005D75C6"/>
    <w:rsid w:val="005E05D7"/>
    <w:rsid w:val="005E0A94"/>
    <w:rsid w:val="005E32AE"/>
    <w:rsid w:val="005E41CC"/>
    <w:rsid w:val="005E41E7"/>
    <w:rsid w:val="005E42EF"/>
    <w:rsid w:val="005E450F"/>
    <w:rsid w:val="005E6E9C"/>
    <w:rsid w:val="005F0C0D"/>
    <w:rsid w:val="005F126D"/>
    <w:rsid w:val="005F3D9B"/>
    <w:rsid w:val="005F43FE"/>
    <w:rsid w:val="005F5FD1"/>
    <w:rsid w:val="005F6B10"/>
    <w:rsid w:val="006059E5"/>
    <w:rsid w:val="00611CD3"/>
    <w:rsid w:val="006135BC"/>
    <w:rsid w:val="00615472"/>
    <w:rsid w:val="006161B7"/>
    <w:rsid w:val="00616C55"/>
    <w:rsid w:val="00621BB2"/>
    <w:rsid w:val="00621D28"/>
    <w:rsid w:val="0062298A"/>
    <w:rsid w:val="00622BB8"/>
    <w:rsid w:val="006234FA"/>
    <w:rsid w:val="00625C4A"/>
    <w:rsid w:val="00626514"/>
    <w:rsid w:val="00626589"/>
    <w:rsid w:val="00626D9F"/>
    <w:rsid w:val="00627C9A"/>
    <w:rsid w:val="00627E97"/>
    <w:rsid w:val="00630F37"/>
    <w:rsid w:val="00632064"/>
    <w:rsid w:val="006325EE"/>
    <w:rsid w:val="00633514"/>
    <w:rsid w:val="006339A0"/>
    <w:rsid w:val="00634105"/>
    <w:rsid w:val="0063479E"/>
    <w:rsid w:val="00635282"/>
    <w:rsid w:val="00635554"/>
    <w:rsid w:val="00635DBB"/>
    <w:rsid w:val="006378D9"/>
    <w:rsid w:val="00637F83"/>
    <w:rsid w:val="00640460"/>
    <w:rsid w:val="006408AC"/>
    <w:rsid w:val="006413A8"/>
    <w:rsid w:val="00641C69"/>
    <w:rsid w:val="00641ECC"/>
    <w:rsid w:val="00642E56"/>
    <w:rsid w:val="00644238"/>
    <w:rsid w:val="006447FA"/>
    <w:rsid w:val="00651E00"/>
    <w:rsid w:val="006538D4"/>
    <w:rsid w:val="00654E1E"/>
    <w:rsid w:val="00655110"/>
    <w:rsid w:val="00657C15"/>
    <w:rsid w:val="0066093B"/>
    <w:rsid w:val="00660B67"/>
    <w:rsid w:val="00661D25"/>
    <w:rsid w:val="00664480"/>
    <w:rsid w:val="0067170E"/>
    <w:rsid w:val="0067221A"/>
    <w:rsid w:val="00674572"/>
    <w:rsid w:val="00681EEB"/>
    <w:rsid w:val="00681F86"/>
    <w:rsid w:val="00682D33"/>
    <w:rsid w:val="0068383E"/>
    <w:rsid w:val="00687763"/>
    <w:rsid w:val="0069163D"/>
    <w:rsid w:val="00692B0D"/>
    <w:rsid w:val="00692E1D"/>
    <w:rsid w:val="00693C78"/>
    <w:rsid w:val="00693E0E"/>
    <w:rsid w:val="00694CC4"/>
    <w:rsid w:val="00695BB7"/>
    <w:rsid w:val="00695FA6"/>
    <w:rsid w:val="0069644E"/>
    <w:rsid w:val="006A1AE3"/>
    <w:rsid w:val="006A388B"/>
    <w:rsid w:val="006A5712"/>
    <w:rsid w:val="006A65BF"/>
    <w:rsid w:val="006A73C1"/>
    <w:rsid w:val="006B042F"/>
    <w:rsid w:val="006B3243"/>
    <w:rsid w:val="006B37E9"/>
    <w:rsid w:val="006B44C3"/>
    <w:rsid w:val="006B6062"/>
    <w:rsid w:val="006C1E3C"/>
    <w:rsid w:val="006C30E1"/>
    <w:rsid w:val="006C3DE1"/>
    <w:rsid w:val="006C4607"/>
    <w:rsid w:val="006C4D36"/>
    <w:rsid w:val="006C5A0D"/>
    <w:rsid w:val="006C603E"/>
    <w:rsid w:val="006C69C3"/>
    <w:rsid w:val="006D028C"/>
    <w:rsid w:val="006D0440"/>
    <w:rsid w:val="006D0922"/>
    <w:rsid w:val="006D0AA9"/>
    <w:rsid w:val="006D16DA"/>
    <w:rsid w:val="006D178B"/>
    <w:rsid w:val="006D2766"/>
    <w:rsid w:val="006D36A7"/>
    <w:rsid w:val="006D45B8"/>
    <w:rsid w:val="006D48F1"/>
    <w:rsid w:val="006D7CDA"/>
    <w:rsid w:val="006D7E24"/>
    <w:rsid w:val="006E3164"/>
    <w:rsid w:val="006E5AF5"/>
    <w:rsid w:val="006E6B3E"/>
    <w:rsid w:val="006E7399"/>
    <w:rsid w:val="006F0F87"/>
    <w:rsid w:val="006F45BE"/>
    <w:rsid w:val="006F47C0"/>
    <w:rsid w:val="006F5B7E"/>
    <w:rsid w:val="007004FC"/>
    <w:rsid w:val="00702F34"/>
    <w:rsid w:val="00703EFE"/>
    <w:rsid w:val="00704B95"/>
    <w:rsid w:val="00705108"/>
    <w:rsid w:val="00706663"/>
    <w:rsid w:val="00706670"/>
    <w:rsid w:val="00710D2A"/>
    <w:rsid w:val="00711F59"/>
    <w:rsid w:val="00713D8B"/>
    <w:rsid w:val="0071610A"/>
    <w:rsid w:val="0071649C"/>
    <w:rsid w:val="00720FFC"/>
    <w:rsid w:val="00721237"/>
    <w:rsid w:val="0072417C"/>
    <w:rsid w:val="00724B1C"/>
    <w:rsid w:val="007319F1"/>
    <w:rsid w:val="007339B4"/>
    <w:rsid w:val="00734450"/>
    <w:rsid w:val="00740BB7"/>
    <w:rsid w:val="00741006"/>
    <w:rsid w:val="00745C2C"/>
    <w:rsid w:val="00745C8D"/>
    <w:rsid w:val="00745F67"/>
    <w:rsid w:val="00747CA2"/>
    <w:rsid w:val="0075039E"/>
    <w:rsid w:val="00751757"/>
    <w:rsid w:val="00751EA0"/>
    <w:rsid w:val="00752D9D"/>
    <w:rsid w:val="00754784"/>
    <w:rsid w:val="007565B1"/>
    <w:rsid w:val="007569CD"/>
    <w:rsid w:val="007575E6"/>
    <w:rsid w:val="00757C6E"/>
    <w:rsid w:val="007601E8"/>
    <w:rsid w:val="00762BDA"/>
    <w:rsid w:val="00765346"/>
    <w:rsid w:val="007665CF"/>
    <w:rsid w:val="007676EC"/>
    <w:rsid w:val="007736F1"/>
    <w:rsid w:val="00773C4A"/>
    <w:rsid w:val="00774AE2"/>
    <w:rsid w:val="007805FD"/>
    <w:rsid w:val="00780D6C"/>
    <w:rsid w:val="00783474"/>
    <w:rsid w:val="007839BC"/>
    <w:rsid w:val="00784422"/>
    <w:rsid w:val="0078619D"/>
    <w:rsid w:val="0079000A"/>
    <w:rsid w:val="00790C6F"/>
    <w:rsid w:val="00793C37"/>
    <w:rsid w:val="00794662"/>
    <w:rsid w:val="0079519B"/>
    <w:rsid w:val="007964D6"/>
    <w:rsid w:val="00796DA2"/>
    <w:rsid w:val="007A2008"/>
    <w:rsid w:val="007A28B9"/>
    <w:rsid w:val="007A3846"/>
    <w:rsid w:val="007A3BCF"/>
    <w:rsid w:val="007A4B2A"/>
    <w:rsid w:val="007A4E59"/>
    <w:rsid w:val="007A5B7B"/>
    <w:rsid w:val="007A5D08"/>
    <w:rsid w:val="007A632D"/>
    <w:rsid w:val="007A66D8"/>
    <w:rsid w:val="007A6C00"/>
    <w:rsid w:val="007B291F"/>
    <w:rsid w:val="007B2A81"/>
    <w:rsid w:val="007B2CEB"/>
    <w:rsid w:val="007B3B54"/>
    <w:rsid w:val="007B3FA0"/>
    <w:rsid w:val="007B4BC6"/>
    <w:rsid w:val="007B7EDF"/>
    <w:rsid w:val="007C0F2C"/>
    <w:rsid w:val="007C26E0"/>
    <w:rsid w:val="007C2BCC"/>
    <w:rsid w:val="007C35B2"/>
    <w:rsid w:val="007C4EF0"/>
    <w:rsid w:val="007C6A6E"/>
    <w:rsid w:val="007D099D"/>
    <w:rsid w:val="007D289E"/>
    <w:rsid w:val="007D6264"/>
    <w:rsid w:val="007D7BA1"/>
    <w:rsid w:val="007E1C9B"/>
    <w:rsid w:val="007E2664"/>
    <w:rsid w:val="007E32FC"/>
    <w:rsid w:val="007E3ABF"/>
    <w:rsid w:val="007E404A"/>
    <w:rsid w:val="007E44C5"/>
    <w:rsid w:val="007E4B51"/>
    <w:rsid w:val="007E4E22"/>
    <w:rsid w:val="007E5BFA"/>
    <w:rsid w:val="007E6167"/>
    <w:rsid w:val="007E6689"/>
    <w:rsid w:val="007E731C"/>
    <w:rsid w:val="007F058C"/>
    <w:rsid w:val="007F0A03"/>
    <w:rsid w:val="007F1F88"/>
    <w:rsid w:val="007F2F05"/>
    <w:rsid w:val="007F3782"/>
    <w:rsid w:val="007F7EAD"/>
    <w:rsid w:val="00800A2B"/>
    <w:rsid w:val="008025D9"/>
    <w:rsid w:val="00805EC6"/>
    <w:rsid w:val="0080646C"/>
    <w:rsid w:val="00810040"/>
    <w:rsid w:val="00813181"/>
    <w:rsid w:val="00816A08"/>
    <w:rsid w:val="00817F1C"/>
    <w:rsid w:val="008201D2"/>
    <w:rsid w:val="0082023A"/>
    <w:rsid w:val="00821163"/>
    <w:rsid w:val="00821701"/>
    <w:rsid w:val="00821A7A"/>
    <w:rsid w:val="0082461C"/>
    <w:rsid w:val="008253F8"/>
    <w:rsid w:val="00826B74"/>
    <w:rsid w:val="00826C67"/>
    <w:rsid w:val="00826F98"/>
    <w:rsid w:val="008271F2"/>
    <w:rsid w:val="00831AD8"/>
    <w:rsid w:val="008325E4"/>
    <w:rsid w:val="00832A2B"/>
    <w:rsid w:val="0083777F"/>
    <w:rsid w:val="00842B02"/>
    <w:rsid w:val="0084313B"/>
    <w:rsid w:val="008433E8"/>
    <w:rsid w:val="00843A2D"/>
    <w:rsid w:val="00845811"/>
    <w:rsid w:val="00846994"/>
    <w:rsid w:val="00847023"/>
    <w:rsid w:val="00850451"/>
    <w:rsid w:val="00851848"/>
    <w:rsid w:val="00852042"/>
    <w:rsid w:val="00852A5F"/>
    <w:rsid w:val="008534C9"/>
    <w:rsid w:val="0085599D"/>
    <w:rsid w:val="00855FF4"/>
    <w:rsid w:val="00857180"/>
    <w:rsid w:val="0086148D"/>
    <w:rsid w:val="00863AB0"/>
    <w:rsid w:val="008646CD"/>
    <w:rsid w:val="00865C17"/>
    <w:rsid w:val="008719C6"/>
    <w:rsid w:val="0087510C"/>
    <w:rsid w:val="008812E7"/>
    <w:rsid w:val="0088169B"/>
    <w:rsid w:val="00881B09"/>
    <w:rsid w:val="00881B32"/>
    <w:rsid w:val="00882EA8"/>
    <w:rsid w:val="00884C3E"/>
    <w:rsid w:val="0088614E"/>
    <w:rsid w:val="0088685F"/>
    <w:rsid w:val="00890442"/>
    <w:rsid w:val="008908E3"/>
    <w:rsid w:val="0089138A"/>
    <w:rsid w:val="00893E73"/>
    <w:rsid w:val="008968D2"/>
    <w:rsid w:val="0089738E"/>
    <w:rsid w:val="008A47C6"/>
    <w:rsid w:val="008A6D36"/>
    <w:rsid w:val="008A7658"/>
    <w:rsid w:val="008B4465"/>
    <w:rsid w:val="008B4A5E"/>
    <w:rsid w:val="008B4E7E"/>
    <w:rsid w:val="008B5DCC"/>
    <w:rsid w:val="008B5FDB"/>
    <w:rsid w:val="008B6B16"/>
    <w:rsid w:val="008C2F07"/>
    <w:rsid w:val="008C342E"/>
    <w:rsid w:val="008C3CAF"/>
    <w:rsid w:val="008C50F4"/>
    <w:rsid w:val="008C5649"/>
    <w:rsid w:val="008C585B"/>
    <w:rsid w:val="008C60FF"/>
    <w:rsid w:val="008D0698"/>
    <w:rsid w:val="008D0792"/>
    <w:rsid w:val="008D3C69"/>
    <w:rsid w:val="008D5C72"/>
    <w:rsid w:val="008D7153"/>
    <w:rsid w:val="008E0350"/>
    <w:rsid w:val="008E16E4"/>
    <w:rsid w:val="008E33B5"/>
    <w:rsid w:val="008E3BE6"/>
    <w:rsid w:val="008E3FC1"/>
    <w:rsid w:val="008E44A2"/>
    <w:rsid w:val="008E596C"/>
    <w:rsid w:val="008E5D1A"/>
    <w:rsid w:val="008E697D"/>
    <w:rsid w:val="008E6A47"/>
    <w:rsid w:val="008E6F0C"/>
    <w:rsid w:val="008F1A6E"/>
    <w:rsid w:val="008F2155"/>
    <w:rsid w:val="008F30B2"/>
    <w:rsid w:val="008F31C4"/>
    <w:rsid w:val="008F444F"/>
    <w:rsid w:val="008F6857"/>
    <w:rsid w:val="008F6A1F"/>
    <w:rsid w:val="008F7811"/>
    <w:rsid w:val="0090179E"/>
    <w:rsid w:val="0090267E"/>
    <w:rsid w:val="00903263"/>
    <w:rsid w:val="009032AB"/>
    <w:rsid w:val="009039A1"/>
    <w:rsid w:val="00903A2E"/>
    <w:rsid w:val="00903D0B"/>
    <w:rsid w:val="00904019"/>
    <w:rsid w:val="009066EC"/>
    <w:rsid w:val="00906A21"/>
    <w:rsid w:val="009079C3"/>
    <w:rsid w:val="00910462"/>
    <w:rsid w:val="009107D4"/>
    <w:rsid w:val="00912468"/>
    <w:rsid w:val="00913C1F"/>
    <w:rsid w:val="009145CD"/>
    <w:rsid w:val="00915AB1"/>
    <w:rsid w:val="00917532"/>
    <w:rsid w:val="00917600"/>
    <w:rsid w:val="009202D1"/>
    <w:rsid w:val="0092043E"/>
    <w:rsid w:val="00920E7B"/>
    <w:rsid w:val="00922565"/>
    <w:rsid w:val="00922F68"/>
    <w:rsid w:val="009235BA"/>
    <w:rsid w:val="00924023"/>
    <w:rsid w:val="00924CE2"/>
    <w:rsid w:val="00925B9F"/>
    <w:rsid w:val="009271A0"/>
    <w:rsid w:val="0093026B"/>
    <w:rsid w:val="009309EB"/>
    <w:rsid w:val="0093141C"/>
    <w:rsid w:val="00931AED"/>
    <w:rsid w:val="00931BCC"/>
    <w:rsid w:val="00936A42"/>
    <w:rsid w:val="0093784B"/>
    <w:rsid w:val="00937EA6"/>
    <w:rsid w:val="00940AEB"/>
    <w:rsid w:val="00940B6B"/>
    <w:rsid w:val="0094168F"/>
    <w:rsid w:val="00942466"/>
    <w:rsid w:val="00942644"/>
    <w:rsid w:val="00942CB9"/>
    <w:rsid w:val="00944315"/>
    <w:rsid w:val="00945766"/>
    <w:rsid w:val="009476A3"/>
    <w:rsid w:val="0095334F"/>
    <w:rsid w:val="0095423D"/>
    <w:rsid w:val="00956C8B"/>
    <w:rsid w:val="00960FDF"/>
    <w:rsid w:val="0096103B"/>
    <w:rsid w:val="00961604"/>
    <w:rsid w:val="009656DE"/>
    <w:rsid w:val="00965897"/>
    <w:rsid w:val="00966C1A"/>
    <w:rsid w:val="0096765C"/>
    <w:rsid w:val="00967848"/>
    <w:rsid w:val="009714D2"/>
    <w:rsid w:val="009727E4"/>
    <w:rsid w:val="00974C05"/>
    <w:rsid w:val="00977250"/>
    <w:rsid w:val="00977CC8"/>
    <w:rsid w:val="0098020D"/>
    <w:rsid w:val="0098169C"/>
    <w:rsid w:val="009816B0"/>
    <w:rsid w:val="00983B2A"/>
    <w:rsid w:val="00985AF6"/>
    <w:rsid w:val="009864BB"/>
    <w:rsid w:val="00987060"/>
    <w:rsid w:val="0098773B"/>
    <w:rsid w:val="00987B16"/>
    <w:rsid w:val="00992E99"/>
    <w:rsid w:val="009934C5"/>
    <w:rsid w:val="009945B8"/>
    <w:rsid w:val="00994C0F"/>
    <w:rsid w:val="009A0027"/>
    <w:rsid w:val="009A0D7A"/>
    <w:rsid w:val="009A15A9"/>
    <w:rsid w:val="009A3062"/>
    <w:rsid w:val="009A33ED"/>
    <w:rsid w:val="009A4848"/>
    <w:rsid w:val="009A60A2"/>
    <w:rsid w:val="009B118C"/>
    <w:rsid w:val="009B22D7"/>
    <w:rsid w:val="009B23A7"/>
    <w:rsid w:val="009B2A92"/>
    <w:rsid w:val="009B4270"/>
    <w:rsid w:val="009B4C85"/>
    <w:rsid w:val="009B5D4B"/>
    <w:rsid w:val="009B6C8A"/>
    <w:rsid w:val="009B72ED"/>
    <w:rsid w:val="009C0480"/>
    <w:rsid w:val="009C30E0"/>
    <w:rsid w:val="009C5659"/>
    <w:rsid w:val="009C6DEB"/>
    <w:rsid w:val="009C7EB0"/>
    <w:rsid w:val="009D1953"/>
    <w:rsid w:val="009D27A6"/>
    <w:rsid w:val="009D27D5"/>
    <w:rsid w:val="009D3B8A"/>
    <w:rsid w:val="009D44D1"/>
    <w:rsid w:val="009D4EF6"/>
    <w:rsid w:val="009D5BA5"/>
    <w:rsid w:val="009D62BB"/>
    <w:rsid w:val="009D6504"/>
    <w:rsid w:val="009E12D7"/>
    <w:rsid w:val="009E159A"/>
    <w:rsid w:val="009E242E"/>
    <w:rsid w:val="009E2AAB"/>
    <w:rsid w:val="009E4BD1"/>
    <w:rsid w:val="009E5294"/>
    <w:rsid w:val="009E661A"/>
    <w:rsid w:val="009E6C0C"/>
    <w:rsid w:val="009E7BF1"/>
    <w:rsid w:val="009F0513"/>
    <w:rsid w:val="009F1276"/>
    <w:rsid w:val="009F2577"/>
    <w:rsid w:val="009F30B3"/>
    <w:rsid w:val="009F4FB6"/>
    <w:rsid w:val="009F5710"/>
    <w:rsid w:val="009F5B2E"/>
    <w:rsid w:val="009F7D7D"/>
    <w:rsid w:val="00A010D5"/>
    <w:rsid w:val="00A01B80"/>
    <w:rsid w:val="00A020A9"/>
    <w:rsid w:val="00A026BC"/>
    <w:rsid w:val="00A03455"/>
    <w:rsid w:val="00A05E77"/>
    <w:rsid w:val="00A06077"/>
    <w:rsid w:val="00A06720"/>
    <w:rsid w:val="00A06781"/>
    <w:rsid w:val="00A07175"/>
    <w:rsid w:val="00A074C3"/>
    <w:rsid w:val="00A07BB1"/>
    <w:rsid w:val="00A07BC4"/>
    <w:rsid w:val="00A100ED"/>
    <w:rsid w:val="00A10201"/>
    <w:rsid w:val="00A102CE"/>
    <w:rsid w:val="00A13261"/>
    <w:rsid w:val="00A1367E"/>
    <w:rsid w:val="00A1509C"/>
    <w:rsid w:val="00A158AF"/>
    <w:rsid w:val="00A16E58"/>
    <w:rsid w:val="00A174AD"/>
    <w:rsid w:val="00A230DA"/>
    <w:rsid w:val="00A238AE"/>
    <w:rsid w:val="00A249B9"/>
    <w:rsid w:val="00A25625"/>
    <w:rsid w:val="00A26187"/>
    <w:rsid w:val="00A31F77"/>
    <w:rsid w:val="00A33787"/>
    <w:rsid w:val="00A34260"/>
    <w:rsid w:val="00A34753"/>
    <w:rsid w:val="00A37EF6"/>
    <w:rsid w:val="00A40CEE"/>
    <w:rsid w:val="00A4189D"/>
    <w:rsid w:val="00A43390"/>
    <w:rsid w:val="00A50051"/>
    <w:rsid w:val="00A513CA"/>
    <w:rsid w:val="00A51DC7"/>
    <w:rsid w:val="00A51E31"/>
    <w:rsid w:val="00A523F9"/>
    <w:rsid w:val="00A52C44"/>
    <w:rsid w:val="00A53272"/>
    <w:rsid w:val="00A55300"/>
    <w:rsid w:val="00A5547B"/>
    <w:rsid w:val="00A5579D"/>
    <w:rsid w:val="00A6048E"/>
    <w:rsid w:val="00A6070A"/>
    <w:rsid w:val="00A60EA3"/>
    <w:rsid w:val="00A648A4"/>
    <w:rsid w:val="00A65338"/>
    <w:rsid w:val="00A665FA"/>
    <w:rsid w:val="00A667DD"/>
    <w:rsid w:val="00A70CFD"/>
    <w:rsid w:val="00A726AC"/>
    <w:rsid w:val="00A7289D"/>
    <w:rsid w:val="00A72A0B"/>
    <w:rsid w:val="00A72CAB"/>
    <w:rsid w:val="00A75219"/>
    <w:rsid w:val="00A75F47"/>
    <w:rsid w:val="00A77110"/>
    <w:rsid w:val="00A778CE"/>
    <w:rsid w:val="00A7797B"/>
    <w:rsid w:val="00A77DBB"/>
    <w:rsid w:val="00A77F80"/>
    <w:rsid w:val="00A8123C"/>
    <w:rsid w:val="00A81E42"/>
    <w:rsid w:val="00A82F8D"/>
    <w:rsid w:val="00A83EBE"/>
    <w:rsid w:val="00A864FE"/>
    <w:rsid w:val="00A86F41"/>
    <w:rsid w:val="00A87696"/>
    <w:rsid w:val="00A8776B"/>
    <w:rsid w:val="00A87D04"/>
    <w:rsid w:val="00A94F48"/>
    <w:rsid w:val="00A950C5"/>
    <w:rsid w:val="00A95777"/>
    <w:rsid w:val="00A96FA5"/>
    <w:rsid w:val="00AA0FA1"/>
    <w:rsid w:val="00AA16DE"/>
    <w:rsid w:val="00AA1BF0"/>
    <w:rsid w:val="00AA1D25"/>
    <w:rsid w:val="00AA2D6D"/>
    <w:rsid w:val="00AA3377"/>
    <w:rsid w:val="00AA400F"/>
    <w:rsid w:val="00AA48D2"/>
    <w:rsid w:val="00AA5080"/>
    <w:rsid w:val="00AA718B"/>
    <w:rsid w:val="00AA7311"/>
    <w:rsid w:val="00AA7982"/>
    <w:rsid w:val="00AB2516"/>
    <w:rsid w:val="00AB2B1A"/>
    <w:rsid w:val="00AB31F2"/>
    <w:rsid w:val="00AB397F"/>
    <w:rsid w:val="00AB4559"/>
    <w:rsid w:val="00AB45B3"/>
    <w:rsid w:val="00AB4680"/>
    <w:rsid w:val="00AB5832"/>
    <w:rsid w:val="00AB6D93"/>
    <w:rsid w:val="00AB7CAC"/>
    <w:rsid w:val="00AC19C6"/>
    <w:rsid w:val="00AC3127"/>
    <w:rsid w:val="00AC51F2"/>
    <w:rsid w:val="00AC74F6"/>
    <w:rsid w:val="00AD104F"/>
    <w:rsid w:val="00AD3269"/>
    <w:rsid w:val="00AD3936"/>
    <w:rsid w:val="00AD3B47"/>
    <w:rsid w:val="00AD64BC"/>
    <w:rsid w:val="00AD6568"/>
    <w:rsid w:val="00AE0B4B"/>
    <w:rsid w:val="00AE420C"/>
    <w:rsid w:val="00AE5066"/>
    <w:rsid w:val="00AE5E24"/>
    <w:rsid w:val="00AE61B7"/>
    <w:rsid w:val="00AE6CBA"/>
    <w:rsid w:val="00AE79AD"/>
    <w:rsid w:val="00AF10B5"/>
    <w:rsid w:val="00AF23BF"/>
    <w:rsid w:val="00AF2549"/>
    <w:rsid w:val="00AF2A63"/>
    <w:rsid w:val="00AF35E4"/>
    <w:rsid w:val="00AF578D"/>
    <w:rsid w:val="00AF5CDE"/>
    <w:rsid w:val="00AF6A09"/>
    <w:rsid w:val="00AF7DE6"/>
    <w:rsid w:val="00B032F8"/>
    <w:rsid w:val="00B07024"/>
    <w:rsid w:val="00B11661"/>
    <w:rsid w:val="00B11A57"/>
    <w:rsid w:val="00B12EB8"/>
    <w:rsid w:val="00B13E50"/>
    <w:rsid w:val="00B211C3"/>
    <w:rsid w:val="00B24719"/>
    <w:rsid w:val="00B25597"/>
    <w:rsid w:val="00B25658"/>
    <w:rsid w:val="00B267B9"/>
    <w:rsid w:val="00B26E02"/>
    <w:rsid w:val="00B270CC"/>
    <w:rsid w:val="00B277F3"/>
    <w:rsid w:val="00B3123E"/>
    <w:rsid w:val="00B3152E"/>
    <w:rsid w:val="00B32521"/>
    <w:rsid w:val="00B336A7"/>
    <w:rsid w:val="00B33E09"/>
    <w:rsid w:val="00B36ECE"/>
    <w:rsid w:val="00B40D37"/>
    <w:rsid w:val="00B4248B"/>
    <w:rsid w:val="00B426C7"/>
    <w:rsid w:val="00B4441E"/>
    <w:rsid w:val="00B45326"/>
    <w:rsid w:val="00B4656B"/>
    <w:rsid w:val="00B46573"/>
    <w:rsid w:val="00B47C20"/>
    <w:rsid w:val="00B50708"/>
    <w:rsid w:val="00B50C68"/>
    <w:rsid w:val="00B50D7A"/>
    <w:rsid w:val="00B51293"/>
    <w:rsid w:val="00B52488"/>
    <w:rsid w:val="00B52B1E"/>
    <w:rsid w:val="00B54828"/>
    <w:rsid w:val="00B55481"/>
    <w:rsid w:val="00B56C32"/>
    <w:rsid w:val="00B56D61"/>
    <w:rsid w:val="00B57ACF"/>
    <w:rsid w:val="00B608B5"/>
    <w:rsid w:val="00B61E4D"/>
    <w:rsid w:val="00B64429"/>
    <w:rsid w:val="00B64BB1"/>
    <w:rsid w:val="00B71F79"/>
    <w:rsid w:val="00B7276F"/>
    <w:rsid w:val="00B73166"/>
    <w:rsid w:val="00B73464"/>
    <w:rsid w:val="00B73D56"/>
    <w:rsid w:val="00B74B4B"/>
    <w:rsid w:val="00B75363"/>
    <w:rsid w:val="00B75739"/>
    <w:rsid w:val="00B80E5A"/>
    <w:rsid w:val="00B80F0C"/>
    <w:rsid w:val="00B8426C"/>
    <w:rsid w:val="00B84642"/>
    <w:rsid w:val="00B84F95"/>
    <w:rsid w:val="00B85104"/>
    <w:rsid w:val="00B86462"/>
    <w:rsid w:val="00B9193F"/>
    <w:rsid w:val="00B91B8D"/>
    <w:rsid w:val="00B94891"/>
    <w:rsid w:val="00B9499A"/>
    <w:rsid w:val="00B94DCE"/>
    <w:rsid w:val="00B94E90"/>
    <w:rsid w:val="00B952A3"/>
    <w:rsid w:val="00B96157"/>
    <w:rsid w:val="00B96487"/>
    <w:rsid w:val="00B9736C"/>
    <w:rsid w:val="00BA0F23"/>
    <w:rsid w:val="00BA13D6"/>
    <w:rsid w:val="00BA2162"/>
    <w:rsid w:val="00BA4FFB"/>
    <w:rsid w:val="00BA569A"/>
    <w:rsid w:val="00BA64D3"/>
    <w:rsid w:val="00BA72E2"/>
    <w:rsid w:val="00BA7CAD"/>
    <w:rsid w:val="00BB09A4"/>
    <w:rsid w:val="00BB0A82"/>
    <w:rsid w:val="00BB0D88"/>
    <w:rsid w:val="00BB15A4"/>
    <w:rsid w:val="00BB4CB6"/>
    <w:rsid w:val="00BB7AF1"/>
    <w:rsid w:val="00BB7C94"/>
    <w:rsid w:val="00BC0A9D"/>
    <w:rsid w:val="00BC38BE"/>
    <w:rsid w:val="00BC54D5"/>
    <w:rsid w:val="00BD02BB"/>
    <w:rsid w:val="00BD0971"/>
    <w:rsid w:val="00BD0F53"/>
    <w:rsid w:val="00BD3D8C"/>
    <w:rsid w:val="00BD494D"/>
    <w:rsid w:val="00BD4D26"/>
    <w:rsid w:val="00BD4D48"/>
    <w:rsid w:val="00BD5012"/>
    <w:rsid w:val="00BD5A4C"/>
    <w:rsid w:val="00BD7A1F"/>
    <w:rsid w:val="00BE1763"/>
    <w:rsid w:val="00BE2312"/>
    <w:rsid w:val="00BE289E"/>
    <w:rsid w:val="00BE571F"/>
    <w:rsid w:val="00BF0AA7"/>
    <w:rsid w:val="00BF40ED"/>
    <w:rsid w:val="00BF5BC2"/>
    <w:rsid w:val="00BF6E3F"/>
    <w:rsid w:val="00BF75BE"/>
    <w:rsid w:val="00C001EF"/>
    <w:rsid w:val="00C00785"/>
    <w:rsid w:val="00C01EBF"/>
    <w:rsid w:val="00C028A1"/>
    <w:rsid w:val="00C03E0B"/>
    <w:rsid w:val="00C04939"/>
    <w:rsid w:val="00C0541A"/>
    <w:rsid w:val="00C06D23"/>
    <w:rsid w:val="00C10939"/>
    <w:rsid w:val="00C109F4"/>
    <w:rsid w:val="00C10EA6"/>
    <w:rsid w:val="00C1133D"/>
    <w:rsid w:val="00C122A2"/>
    <w:rsid w:val="00C12B61"/>
    <w:rsid w:val="00C1471D"/>
    <w:rsid w:val="00C15CCF"/>
    <w:rsid w:val="00C16414"/>
    <w:rsid w:val="00C1735C"/>
    <w:rsid w:val="00C21749"/>
    <w:rsid w:val="00C22742"/>
    <w:rsid w:val="00C24B53"/>
    <w:rsid w:val="00C26170"/>
    <w:rsid w:val="00C27152"/>
    <w:rsid w:val="00C27A08"/>
    <w:rsid w:val="00C27BC1"/>
    <w:rsid w:val="00C31312"/>
    <w:rsid w:val="00C31E36"/>
    <w:rsid w:val="00C31E5A"/>
    <w:rsid w:val="00C326C6"/>
    <w:rsid w:val="00C32C3C"/>
    <w:rsid w:val="00C33A0C"/>
    <w:rsid w:val="00C35295"/>
    <w:rsid w:val="00C368D6"/>
    <w:rsid w:val="00C36ADD"/>
    <w:rsid w:val="00C36B68"/>
    <w:rsid w:val="00C36E74"/>
    <w:rsid w:val="00C40595"/>
    <w:rsid w:val="00C40B5A"/>
    <w:rsid w:val="00C41621"/>
    <w:rsid w:val="00C41B7C"/>
    <w:rsid w:val="00C44007"/>
    <w:rsid w:val="00C442F7"/>
    <w:rsid w:val="00C449FA"/>
    <w:rsid w:val="00C464A8"/>
    <w:rsid w:val="00C47F29"/>
    <w:rsid w:val="00C50EA9"/>
    <w:rsid w:val="00C5355E"/>
    <w:rsid w:val="00C5384F"/>
    <w:rsid w:val="00C53D75"/>
    <w:rsid w:val="00C54A29"/>
    <w:rsid w:val="00C54C0B"/>
    <w:rsid w:val="00C54ECF"/>
    <w:rsid w:val="00C56964"/>
    <w:rsid w:val="00C614F7"/>
    <w:rsid w:val="00C61CAF"/>
    <w:rsid w:val="00C62D2B"/>
    <w:rsid w:val="00C63CF8"/>
    <w:rsid w:val="00C64816"/>
    <w:rsid w:val="00C656D5"/>
    <w:rsid w:val="00C67103"/>
    <w:rsid w:val="00C67F66"/>
    <w:rsid w:val="00C7180E"/>
    <w:rsid w:val="00C71BB9"/>
    <w:rsid w:val="00C736FB"/>
    <w:rsid w:val="00C74DEE"/>
    <w:rsid w:val="00C75128"/>
    <w:rsid w:val="00C75D12"/>
    <w:rsid w:val="00C80313"/>
    <w:rsid w:val="00C80D34"/>
    <w:rsid w:val="00C819E1"/>
    <w:rsid w:val="00C82A12"/>
    <w:rsid w:val="00C84A7B"/>
    <w:rsid w:val="00C84C0C"/>
    <w:rsid w:val="00C8539C"/>
    <w:rsid w:val="00C87595"/>
    <w:rsid w:val="00C87CE3"/>
    <w:rsid w:val="00C90167"/>
    <w:rsid w:val="00C90B12"/>
    <w:rsid w:val="00C91F1B"/>
    <w:rsid w:val="00C92D86"/>
    <w:rsid w:val="00C942DC"/>
    <w:rsid w:val="00C945FA"/>
    <w:rsid w:val="00C94C28"/>
    <w:rsid w:val="00C95F30"/>
    <w:rsid w:val="00CA0909"/>
    <w:rsid w:val="00CA15AA"/>
    <w:rsid w:val="00CA42CC"/>
    <w:rsid w:val="00CA5C46"/>
    <w:rsid w:val="00CA6A2D"/>
    <w:rsid w:val="00CB0247"/>
    <w:rsid w:val="00CB0A64"/>
    <w:rsid w:val="00CB3440"/>
    <w:rsid w:val="00CB3FC2"/>
    <w:rsid w:val="00CB4084"/>
    <w:rsid w:val="00CB5A0A"/>
    <w:rsid w:val="00CB616A"/>
    <w:rsid w:val="00CC1692"/>
    <w:rsid w:val="00CC1C70"/>
    <w:rsid w:val="00CC58F5"/>
    <w:rsid w:val="00CC72CE"/>
    <w:rsid w:val="00CC7AC4"/>
    <w:rsid w:val="00CD138B"/>
    <w:rsid w:val="00CD180E"/>
    <w:rsid w:val="00CD213E"/>
    <w:rsid w:val="00CD39C5"/>
    <w:rsid w:val="00CD3E31"/>
    <w:rsid w:val="00CD4089"/>
    <w:rsid w:val="00CD580E"/>
    <w:rsid w:val="00CD615D"/>
    <w:rsid w:val="00CD617D"/>
    <w:rsid w:val="00CD67D9"/>
    <w:rsid w:val="00CD7117"/>
    <w:rsid w:val="00CD74A3"/>
    <w:rsid w:val="00CE0527"/>
    <w:rsid w:val="00CE1194"/>
    <w:rsid w:val="00CE1DEE"/>
    <w:rsid w:val="00CE27C5"/>
    <w:rsid w:val="00CE2A05"/>
    <w:rsid w:val="00CE2FFF"/>
    <w:rsid w:val="00CE30D0"/>
    <w:rsid w:val="00CE5249"/>
    <w:rsid w:val="00CE5B23"/>
    <w:rsid w:val="00CE710D"/>
    <w:rsid w:val="00CF2486"/>
    <w:rsid w:val="00CF368E"/>
    <w:rsid w:val="00CF3924"/>
    <w:rsid w:val="00CF3EEE"/>
    <w:rsid w:val="00CF55C3"/>
    <w:rsid w:val="00CF573B"/>
    <w:rsid w:val="00CF57CC"/>
    <w:rsid w:val="00CF70AD"/>
    <w:rsid w:val="00CF7729"/>
    <w:rsid w:val="00D00059"/>
    <w:rsid w:val="00D009CE"/>
    <w:rsid w:val="00D02F34"/>
    <w:rsid w:val="00D0317B"/>
    <w:rsid w:val="00D03FB6"/>
    <w:rsid w:val="00D0487F"/>
    <w:rsid w:val="00D06BC9"/>
    <w:rsid w:val="00D10323"/>
    <w:rsid w:val="00D107FA"/>
    <w:rsid w:val="00D11555"/>
    <w:rsid w:val="00D12275"/>
    <w:rsid w:val="00D12766"/>
    <w:rsid w:val="00D12AB6"/>
    <w:rsid w:val="00D14601"/>
    <w:rsid w:val="00D173F7"/>
    <w:rsid w:val="00D20E4E"/>
    <w:rsid w:val="00D20FF4"/>
    <w:rsid w:val="00D212D8"/>
    <w:rsid w:val="00D22B0E"/>
    <w:rsid w:val="00D23558"/>
    <w:rsid w:val="00D23674"/>
    <w:rsid w:val="00D236F5"/>
    <w:rsid w:val="00D23C88"/>
    <w:rsid w:val="00D24D2C"/>
    <w:rsid w:val="00D27903"/>
    <w:rsid w:val="00D3110F"/>
    <w:rsid w:val="00D32514"/>
    <w:rsid w:val="00D34B3F"/>
    <w:rsid w:val="00D35881"/>
    <w:rsid w:val="00D36717"/>
    <w:rsid w:val="00D36916"/>
    <w:rsid w:val="00D36A86"/>
    <w:rsid w:val="00D37162"/>
    <w:rsid w:val="00D442BD"/>
    <w:rsid w:val="00D44A23"/>
    <w:rsid w:val="00D479AF"/>
    <w:rsid w:val="00D47FA2"/>
    <w:rsid w:val="00D5162A"/>
    <w:rsid w:val="00D51855"/>
    <w:rsid w:val="00D518A0"/>
    <w:rsid w:val="00D51F5D"/>
    <w:rsid w:val="00D5341E"/>
    <w:rsid w:val="00D5531D"/>
    <w:rsid w:val="00D55399"/>
    <w:rsid w:val="00D55859"/>
    <w:rsid w:val="00D56DF2"/>
    <w:rsid w:val="00D56FFF"/>
    <w:rsid w:val="00D57189"/>
    <w:rsid w:val="00D64E30"/>
    <w:rsid w:val="00D666EA"/>
    <w:rsid w:val="00D67979"/>
    <w:rsid w:val="00D70292"/>
    <w:rsid w:val="00D71E21"/>
    <w:rsid w:val="00D724EF"/>
    <w:rsid w:val="00D73C93"/>
    <w:rsid w:val="00D75D81"/>
    <w:rsid w:val="00D77B6F"/>
    <w:rsid w:val="00D805F0"/>
    <w:rsid w:val="00D83214"/>
    <w:rsid w:val="00D83E21"/>
    <w:rsid w:val="00D8677A"/>
    <w:rsid w:val="00D901A0"/>
    <w:rsid w:val="00D920E7"/>
    <w:rsid w:val="00D92B1B"/>
    <w:rsid w:val="00D96476"/>
    <w:rsid w:val="00D96726"/>
    <w:rsid w:val="00D96A3D"/>
    <w:rsid w:val="00DA05F2"/>
    <w:rsid w:val="00DA4245"/>
    <w:rsid w:val="00DA4823"/>
    <w:rsid w:val="00DA4BFD"/>
    <w:rsid w:val="00DA5018"/>
    <w:rsid w:val="00DA65BD"/>
    <w:rsid w:val="00DA664C"/>
    <w:rsid w:val="00DA75C9"/>
    <w:rsid w:val="00DA78A7"/>
    <w:rsid w:val="00DA7DA5"/>
    <w:rsid w:val="00DB0440"/>
    <w:rsid w:val="00DB073B"/>
    <w:rsid w:val="00DB1D11"/>
    <w:rsid w:val="00DB264F"/>
    <w:rsid w:val="00DB3974"/>
    <w:rsid w:val="00DB4494"/>
    <w:rsid w:val="00DB7308"/>
    <w:rsid w:val="00DB78F0"/>
    <w:rsid w:val="00DC0CEA"/>
    <w:rsid w:val="00DC1A5E"/>
    <w:rsid w:val="00DC2E43"/>
    <w:rsid w:val="00DC34AC"/>
    <w:rsid w:val="00DC3988"/>
    <w:rsid w:val="00DC452E"/>
    <w:rsid w:val="00DC55A3"/>
    <w:rsid w:val="00DC764D"/>
    <w:rsid w:val="00DD007C"/>
    <w:rsid w:val="00DD095C"/>
    <w:rsid w:val="00DD0A7A"/>
    <w:rsid w:val="00DD1020"/>
    <w:rsid w:val="00DD1330"/>
    <w:rsid w:val="00DD28E0"/>
    <w:rsid w:val="00DD2D6F"/>
    <w:rsid w:val="00DD3231"/>
    <w:rsid w:val="00DD353C"/>
    <w:rsid w:val="00DD4D8C"/>
    <w:rsid w:val="00DE0B83"/>
    <w:rsid w:val="00DE0D0F"/>
    <w:rsid w:val="00DE1A81"/>
    <w:rsid w:val="00DE1C13"/>
    <w:rsid w:val="00DE2677"/>
    <w:rsid w:val="00DE4D02"/>
    <w:rsid w:val="00DE4E10"/>
    <w:rsid w:val="00DE7083"/>
    <w:rsid w:val="00DE7906"/>
    <w:rsid w:val="00DE7949"/>
    <w:rsid w:val="00DF1190"/>
    <w:rsid w:val="00DF1FE4"/>
    <w:rsid w:val="00DF1FE5"/>
    <w:rsid w:val="00DF4689"/>
    <w:rsid w:val="00DF6797"/>
    <w:rsid w:val="00DF6A1A"/>
    <w:rsid w:val="00DF7256"/>
    <w:rsid w:val="00DF7678"/>
    <w:rsid w:val="00E0158A"/>
    <w:rsid w:val="00E0204B"/>
    <w:rsid w:val="00E02ABF"/>
    <w:rsid w:val="00E02DF6"/>
    <w:rsid w:val="00E03A48"/>
    <w:rsid w:val="00E052B0"/>
    <w:rsid w:val="00E053CB"/>
    <w:rsid w:val="00E0557E"/>
    <w:rsid w:val="00E14995"/>
    <w:rsid w:val="00E166B0"/>
    <w:rsid w:val="00E16AD4"/>
    <w:rsid w:val="00E179CD"/>
    <w:rsid w:val="00E23250"/>
    <w:rsid w:val="00E232AD"/>
    <w:rsid w:val="00E23E8D"/>
    <w:rsid w:val="00E246E3"/>
    <w:rsid w:val="00E25061"/>
    <w:rsid w:val="00E253EB"/>
    <w:rsid w:val="00E27791"/>
    <w:rsid w:val="00E30E9F"/>
    <w:rsid w:val="00E311A3"/>
    <w:rsid w:val="00E31371"/>
    <w:rsid w:val="00E31ED1"/>
    <w:rsid w:val="00E3380A"/>
    <w:rsid w:val="00E34E97"/>
    <w:rsid w:val="00E35C14"/>
    <w:rsid w:val="00E35C5D"/>
    <w:rsid w:val="00E37F98"/>
    <w:rsid w:val="00E4607F"/>
    <w:rsid w:val="00E46559"/>
    <w:rsid w:val="00E46FC3"/>
    <w:rsid w:val="00E51E76"/>
    <w:rsid w:val="00E5258E"/>
    <w:rsid w:val="00E531A7"/>
    <w:rsid w:val="00E534A5"/>
    <w:rsid w:val="00E56207"/>
    <w:rsid w:val="00E62175"/>
    <w:rsid w:val="00E621AB"/>
    <w:rsid w:val="00E64C21"/>
    <w:rsid w:val="00E64C85"/>
    <w:rsid w:val="00E65A4F"/>
    <w:rsid w:val="00E6664A"/>
    <w:rsid w:val="00E6670C"/>
    <w:rsid w:val="00E67CE4"/>
    <w:rsid w:val="00E70E26"/>
    <w:rsid w:val="00E710C2"/>
    <w:rsid w:val="00E72B47"/>
    <w:rsid w:val="00E73909"/>
    <w:rsid w:val="00E73C6E"/>
    <w:rsid w:val="00E744B2"/>
    <w:rsid w:val="00E74522"/>
    <w:rsid w:val="00E776E8"/>
    <w:rsid w:val="00E82F09"/>
    <w:rsid w:val="00E83AD7"/>
    <w:rsid w:val="00E83F7E"/>
    <w:rsid w:val="00E86F8E"/>
    <w:rsid w:val="00E876B4"/>
    <w:rsid w:val="00E87D28"/>
    <w:rsid w:val="00E901D1"/>
    <w:rsid w:val="00E92331"/>
    <w:rsid w:val="00E92C1F"/>
    <w:rsid w:val="00E92E89"/>
    <w:rsid w:val="00E95D4B"/>
    <w:rsid w:val="00E97E42"/>
    <w:rsid w:val="00EA20A7"/>
    <w:rsid w:val="00EA20DE"/>
    <w:rsid w:val="00EA3061"/>
    <w:rsid w:val="00EA36C4"/>
    <w:rsid w:val="00EA4BC8"/>
    <w:rsid w:val="00EA4CA5"/>
    <w:rsid w:val="00EA5176"/>
    <w:rsid w:val="00EA6728"/>
    <w:rsid w:val="00EA76B8"/>
    <w:rsid w:val="00EA7CB6"/>
    <w:rsid w:val="00EB011C"/>
    <w:rsid w:val="00EB0D3C"/>
    <w:rsid w:val="00EB199F"/>
    <w:rsid w:val="00EB2CCC"/>
    <w:rsid w:val="00EB442E"/>
    <w:rsid w:val="00EB5186"/>
    <w:rsid w:val="00EC1612"/>
    <w:rsid w:val="00EC1C84"/>
    <w:rsid w:val="00EC23F7"/>
    <w:rsid w:val="00EC2464"/>
    <w:rsid w:val="00EC3121"/>
    <w:rsid w:val="00EC4BD8"/>
    <w:rsid w:val="00EC5ABB"/>
    <w:rsid w:val="00EC5C53"/>
    <w:rsid w:val="00EC5CA8"/>
    <w:rsid w:val="00EC63EB"/>
    <w:rsid w:val="00EC65E7"/>
    <w:rsid w:val="00ED0A59"/>
    <w:rsid w:val="00ED23A9"/>
    <w:rsid w:val="00ED2F0E"/>
    <w:rsid w:val="00ED3684"/>
    <w:rsid w:val="00ED412F"/>
    <w:rsid w:val="00ED5B8D"/>
    <w:rsid w:val="00ED7CF7"/>
    <w:rsid w:val="00EE20B3"/>
    <w:rsid w:val="00EE513E"/>
    <w:rsid w:val="00EF0186"/>
    <w:rsid w:val="00EF0B43"/>
    <w:rsid w:val="00EF0E3C"/>
    <w:rsid w:val="00EF1191"/>
    <w:rsid w:val="00EF1DA7"/>
    <w:rsid w:val="00EF25B8"/>
    <w:rsid w:val="00EF2A15"/>
    <w:rsid w:val="00EF36B2"/>
    <w:rsid w:val="00EF5800"/>
    <w:rsid w:val="00EF77F9"/>
    <w:rsid w:val="00F01D31"/>
    <w:rsid w:val="00F02EE6"/>
    <w:rsid w:val="00F04B06"/>
    <w:rsid w:val="00F068C5"/>
    <w:rsid w:val="00F071A3"/>
    <w:rsid w:val="00F1231C"/>
    <w:rsid w:val="00F1246B"/>
    <w:rsid w:val="00F16CC4"/>
    <w:rsid w:val="00F17B35"/>
    <w:rsid w:val="00F17D73"/>
    <w:rsid w:val="00F201EC"/>
    <w:rsid w:val="00F208A9"/>
    <w:rsid w:val="00F2102F"/>
    <w:rsid w:val="00F22CAF"/>
    <w:rsid w:val="00F23C30"/>
    <w:rsid w:val="00F23DB4"/>
    <w:rsid w:val="00F240C1"/>
    <w:rsid w:val="00F24139"/>
    <w:rsid w:val="00F30532"/>
    <w:rsid w:val="00F314E8"/>
    <w:rsid w:val="00F32157"/>
    <w:rsid w:val="00F3294C"/>
    <w:rsid w:val="00F32FCD"/>
    <w:rsid w:val="00F37796"/>
    <w:rsid w:val="00F40268"/>
    <w:rsid w:val="00F41D75"/>
    <w:rsid w:val="00F45823"/>
    <w:rsid w:val="00F45C02"/>
    <w:rsid w:val="00F508C7"/>
    <w:rsid w:val="00F5139D"/>
    <w:rsid w:val="00F5161D"/>
    <w:rsid w:val="00F52D22"/>
    <w:rsid w:val="00F542CE"/>
    <w:rsid w:val="00F5498A"/>
    <w:rsid w:val="00F55314"/>
    <w:rsid w:val="00F55977"/>
    <w:rsid w:val="00F55ED3"/>
    <w:rsid w:val="00F55F75"/>
    <w:rsid w:val="00F5770B"/>
    <w:rsid w:val="00F60BCF"/>
    <w:rsid w:val="00F61A7A"/>
    <w:rsid w:val="00F62F43"/>
    <w:rsid w:val="00F63DAC"/>
    <w:rsid w:val="00F64A42"/>
    <w:rsid w:val="00F64F55"/>
    <w:rsid w:val="00F66DA3"/>
    <w:rsid w:val="00F71B07"/>
    <w:rsid w:val="00F72621"/>
    <w:rsid w:val="00F74326"/>
    <w:rsid w:val="00F7454F"/>
    <w:rsid w:val="00F745ED"/>
    <w:rsid w:val="00F74C18"/>
    <w:rsid w:val="00F7650A"/>
    <w:rsid w:val="00F77511"/>
    <w:rsid w:val="00F77988"/>
    <w:rsid w:val="00F77F48"/>
    <w:rsid w:val="00F8023A"/>
    <w:rsid w:val="00F81BFC"/>
    <w:rsid w:val="00F82C24"/>
    <w:rsid w:val="00F82F1D"/>
    <w:rsid w:val="00F82FD3"/>
    <w:rsid w:val="00F846BB"/>
    <w:rsid w:val="00F84FE3"/>
    <w:rsid w:val="00F873CF"/>
    <w:rsid w:val="00F91513"/>
    <w:rsid w:val="00F95719"/>
    <w:rsid w:val="00F95CD2"/>
    <w:rsid w:val="00F96528"/>
    <w:rsid w:val="00F96858"/>
    <w:rsid w:val="00FA0FD5"/>
    <w:rsid w:val="00FA268E"/>
    <w:rsid w:val="00FA4226"/>
    <w:rsid w:val="00FA68F1"/>
    <w:rsid w:val="00FA6DD0"/>
    <w:rsid w:val="00FB2217"/>
    <w:rsid w:val="00FB23FF"/>
    <w:rsid w:val="00FB2B33"/>
    <w:rsid w:val="00FB30F1"/>
    <w:rsid w:val="00FB331B"/>
    <w:rsid w:val="00FB35AC"/>
    <w:rsid w:val="00FB37FF"/>
    <w:rsid w:val="00FB3AD8"/>
    <w:rsid w:val="00FB53E7"/>
    <w:rsid w:val="00FB55B8"/>
    <w:rsid w:val="00FB5BAF"/>
    <w:rsid w:val="00FB69DD"/>
    <w:rsid w:val="00FB6EF1"/>
    <w:rsid w:val="00FB73F9"/>
    <w:rsid w:val="00FC14DF"/>
    <w:rsid w:val="00FC4820"/>
    <w:rsid w:val="00FC6881"/>
    <w:rsid w:val="00FD226B"/>
    <w:rsid w:val="00FD2A8A"/>
    <w:rsid w:val="00FD2EC4"/>
    <w:rsid w:val="00FD2EF5"/>
    <w:rsid w:val="00FD39C3"/>
    <w:rsid w:val="00FD3C92"/>
    <w:rsid w:val="00FD415A"/>
    <w:rsid w:val="00FD46D6"/>
    <w:rsid w:val="00FD5301"/>
    <w:rsid w:val="00FD6909"/>
    <w:rsid w:val="00FE2265"/>
    <w:rsid w:val="00FE2C4E"/>
    <w:rsid w:val="00FE2FEB"/>
    <w:rsid w:val="00FE38A3"/>
    <w:rsid w:val="00FE3C23"/>
    <w:rsid w:val="00FE4973"/>
    <w:rsid w:val="00FE4B5F"/>
    <w:rsid w:val="00FE4C62"/>
    <w:rsid w:val="00FE55F3"/>
    <w:rsid w:val="00FE58D5"/>
    <w:rsid w:val="00FE5A2C"/>
    <w:rsid w:val="00FE6AA6"/>
    <w:rsid w:val="00FF3C53"/>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apple-style-span">
    <w:name w:val="apple-style-span"/>
    <w:rsid w:val="00541C43"/>
  </w:style>
  <w:style w:type="paragraph" w:customStyle="1" w:styleId="tvhtml">
    <w:name w:val="tv_html"/>
    <w:basedOn w:val="Normal"/>
    <w:rsid w:val="00370332"/>
    <w:pPr>
      <w:spacing w:before="100" w:beforeAutospacing="1" w:after="100" w:afterAutospacing="1"/>
    </w:pPr>
  </w:style>
  <w:style w:type="character" w:customStyle="1" w:styleId="apple-converted-space">
    <w:name w:val="apple-converted-space"/>
    <w:rsid w:val="00370332"/>
  </w:style>
  <w:style w:type="paragraph" w:customStyle="1" w:styleId="tv213">
    <w:name w:val="tv213"/>
    <w:basedOn w:val="Normal"/>
    <w:rsid w:val="00D8677A"/>
    <w:pPr>
      <w:spacing w:before="100" w:beforeAutospacing="1" w:after="100" w:afterAutospacing="1"/>
    </w:pPr>
  </w:style>
  <w:style w:type="paragraph" w:styleId="Revision">
    <w:name w:val="Revision"/>
    <w:hidden/>
    <w:uiPriority w:val="99"/>
    <w:semiHidden/>
    <w:rsid w:val="005068D0"/>
    <w:rPr>
      <w:sz w:val="24"/>
      <w:szCs w:val="24"/>
    </w:rPr>
  </w:style>
  <w:style w:type="character" w:customStyle="1" w:styleId="CommentSubjectChar">
    <w:name w:val="Comment Subject Char"/>
    <w:link w:val="CommentSubject"/>
    <w:uiPriority w:val="99"/>
    <w:semiHidden/>
    <w:rsid w:val="00446728"/>
    <w:rPr>
      <w:b/>
      <w:bCs/>
    </w:rPr>
  </w:style>
  <w:style w:type="character" w:styleId="Emphasis">
    <w:name w:val="Emphasis"/>
    <w:basedOn w:val="DefaultParagraphFont"/>
    <w:uiPriority w:val="20"/>
    <w:qFormat/>
    <w:rsid w:val="004735D3"/>
    <w:rPr>
      <w:i/>
      <w:iCs/>
    </w:rPr>
  </w:style>
  <w:style w:type="character" w:customStyle="1" w:styleId="HeaderChar">
    <w:name w:val="Header Char"/>
    <w:link w:val="Header"/>
    <w:rsid w:val="000A12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apple-style-span">
    <w:name w:val="apple-style-span"/>
    <w:rsid w:val="00541C43"/>
  </w:style>
  <w:style w:type="paragraph" w:customStyle="1" w:styleId="tvhtml">
    <w:name w:val="tv_html"/>
    <w:basedOn w:val="Normal"/>
    <w:rsid w:val="00370332"/>
    <w:pPr>
      <w:spacing w:before="100" w:beforeAutospacing="1" w:after="100" w:afterAutospacing="1"/>
    </w:pPr>
  </w:style>
  <w:style w:type="character" w:customStyle="1" w:styleId="apple-converted-space">
    <w:name w:val="apple-converted-space"/>
    <w:rsid w:val="00370332"/>
  </w:style>
  <w:style w:type="paragraph" w:customStyle="1" w:styleId="tv213">
    <w:name w:val="tv213"/>
    <w:basedOn w:val="Normal"/>
    <w:rsid w:val="00D8677A"/>
    <w:pPr>
      <w:spacing w:before="100" w:beforeAutospacing="1" w:after="100" w:afterAutospacing="1"/>
    </w:pPr>
  </w:style>
  <w:style w:type="paragraph" w:styleId="Revision">
    <w:name w:val="Revision"/>
    <w:hidden/>
    <w:uiPriority w:val="99"/>
    <w:semiHidden/>
    <w:rsid w:val="005068D0"/>
    <w:rPr>
      <w:sz w:val="24"/>
      <w:szCs w:val="24"/>
    </w:rPr>
  </w:style>
  <w:style w:type="character" w:customStyle="1" w:styleId="CommentSubjectChar">
    <w:name w:val="Comment Subject Char"/>
    <w:link w:val="CommentSubject"/>
    <w:uiPriority w:val="99"/>
    <w:semiHidden/>
    <w:rsid w:val="00446728"/>
    <w:rPr>
      <w:b/>
      <w:bCs/>
    </w:rPr>
  </w:style>
  <w:style w:type="character" w:styleId="Emphasis">
    <w:name w:val="Emphasis"/>
    <w:basedOn w:val="DefaultParagraphFont"/>
    <w:uiPriority w:val="20"/>
    <w:qFormat/>
    <w:rsid w:val="004735D3"/>
    <w:rPr>
      <w:i/>
      <w:iCs/>
    </w:rPr>
  </w:style>
  <w:style w:type="character" w:customStyle="1" w:styleId="HeaderChar">
    <w:name w:val="Header Char"/>
    <w:link w:val="Header"/>
    <w:rsid w:val="000A1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819">
      <w:bodyDiv w:val="1"/>
      <w:marLeft w:val="0"/>
      <w:marRight w:val="0"/>
      <w:marTop w:val="0"/>
      <w:marBottom w:val="0"/>
      <w:divBdr>
        <w:top w:val="none" w:sz="0" w:space="0" w:color="auto"/>
        <w:left w:val="none" w:sz="0" w:space="0" w:color="auto"/>
        <w:bottom w:val="none" w:sz="0" w:space="0" w:color="auto"/>
        <w:right w:val="none" w:sz="0" w:space="0" w:color="auto"/>
      </w:divBdr>
    </w:div>
    <w:div w:id="337005876">
      <w:bodyDiv w:val="1"/>
      <w:marLeft w:val="0"/>
      <w:marRight w:val="0"/>
      <w:marTop w:val="0"/>
      <w:marBottom w:val="0"/>
      <w:divBdr>
        <w:top w:val="none" w:sz="0" w:space="0" w:color="auto"/>
        <w:left w:val="none" w:sz="0" w:space="0" w:color="auto"/>
        <w:bottom w:val="none" w:sz="0" w:space="0" w:color="auto"/>
        <w:right w:val="none" w:sz="0" w:space="0" w:color="auto"/>
      </w:divBdr>
    </w:div>
    <w:div w:id="504056799">
      <w:bodyDiv w:val="1"/>
      <w:marLeft w:val="0"/>
      <w:marRight w:val="0"/>
      <w:marTop w:val="0"/>
      <w:marBottom w:val="0"/>
      <w:divBdr>
        <w:top w:val="none" w:sz="0" w:space="0" w:color="auto"/>
        <w:left w:val="none" w:sz="0" w:space="0" w:color="auto"/>
        <w:bottom w:val="none" w:sz="0" w:space="0" w:color="auto"/>
        <w:right w:val="none" w:sz="0" w:space="0" w:color="auto"/>
      </w:divBdr>
    </w:div>
    <w:div w:id="611087442">
      <w:bodyDiv w:val="1"/>
      <w:marLeft w:val="0"/>
      <w:marRight w:val="0"/>
      <w:marTop w:val="0"/>
      <w:marBottom w:val="0"/>
      <w:divBdr>
        <w:top w:val="none" w:sz="0" w:space="0" w:color="auto"/>
        <w:left w:val="none" w:sz="0" w:space="0" w:color="auto"/>
        <w:bottom w:val="none" w:sz="0" w:space="0" w:color="auto"/>
        <w:right w:val="none" w:sz="0" w:space="0" w:color="auto"/>
      </w:divBdr>
    </w:div>
    <w:div w:id="667640488">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689836477">
      <w:bodyDiv w:val="1"/>
      <w:marLeft w:val="0"/>
      <w:marRight w:val="0"/>
      <w:marTop w:val="0"/>
      <w:marBottom w:val="0"/>
      <w:divBdr>
        <w:top w:val="none" w:sz="0" w:space="0" w:color="auto"/>
        <w:left w:val="none" w:sz="0" w:space="0" w:color="auto"/>
        <w:bottom w:val="none" w:sz="0" w:space="0" w:color="auto"/>
        <w:right w:val="none" w:sz="0" w:space="0" w:color="auto"/>
      </w:divBdr>
    </w:div>
    <w:div w:id="749928470">
      <w:bodyDiv w:val="1"/>
      <w:marLeft w:val="0"/>
      <w:marRight w:val="0"/>
      <w:marTop w:val="0"/>
      <w:marBottom w:val="0"/>
      <w:divBdr>
        <w:top w:val="none" w:sz="0" w:space="0" w:color="auto"/>
        <w:left w:val="none" w:sz="0" w:space="0" w:color="auto"/>
        <w:bottom w:val="none" w:sz="0" w:space="0" w:color="auto"/>
        <w:right w:val="none" w:sz="0" w:space="0" w:color="auto"/>
      </w:divBdr>
    </w:div>
    <w:div w:id="841091412">
      <w:bodyDiv w:val="1"/>
      <w:marLeft w:val="0"/>
      <w:marRight w:val="0"/>
      <w:marTop w:val="0"/>
      <w:marBottom w:val="0"/>
      <w:divBdr>
        <w:top w:val="none" w:sz="0" w:space="0" w:color="auto"/>
        <w:left w:val="none" w:sz="0" w:space="0" w:color="auto"/>
        <w:bottom w:val="none" w:sz="0" w:space="0" w:color="auto"/>
        <w:right w:val="none" w:sz="0" w:space="0" w:color="auto"/>
      </w:divBdr>
    </w:div>
    <w:div w:id="1020205391">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19724">
      <w:bodyDiv w:val="1"/>
      <w:marLeft w:val="0"/>
      <w:marRight w:val="0"/>
      <w:marTop w:val="0"/>
      <w:marBottom w:val="0"/>
      <w:divBdr>
        <w:top w:val="none" w:sz="0" w:space="0" w:color="auto"/>
        <w:left w:val="none" w:sz="0" w:space="0" w:color="auto"/>
        <w:bottom w:val="none" w:sz="0" w:space="0" w:color="auto"/>
        <w:right w:val="none" w:sz="0" w:space="0" w:color="auto"/>
      </w:divBdr>
    </w:div>
    <w:div w:id="1440491604">
      <w:bodyDiv w:val="1"/>
      <w:marLeft w:val="0"/>
      <w:marRight w:val="0"/>
      <w:marTop w:val="0"/>
      <w:marBottom w:val="0"/>
      <w:divBdr>
        <w:top w:val="none" w:sz="0" w:space="0" w:color="auto"/>
        <w:left w:val="none" w:sz="0" w:space="0" w:color="auto"/>
        <w:bottom w:val="none" w:sz="0" w:space="0" w:color="auto"/>
        <w:right w:val="none" w:sz="0" w:space="0" w:color="auto"/>
      </w:divBdr>
    </w:div>
    <w:div w:id="1539783006">
      <w:bodyDiv w:val="1"/>
      <w:marLeft w:val="0"/>
      <w:marRight w:val="0"/>
      <w:marTop w:val="0"/>
      <w:marBottom w:val="0"/>
      <w:divBdr>
        <w:top w:val="none" w:sz="0" w:space="0" w:color="auto"/>
        <w:left w:val="none" w:sz="0" w:space="0" w:color="auto"/>
        <w:bottom w:val="none" w:sz="0" w:space="0" w:color="auto"/>
        <w:right w:val="none" w:sz="0" w:space="0" w:color="auto"/>
      </w:divBdr>
    </w:div>
    <w:div w:id="1685208650">
      <w:bodyDiv w:val="1"/>
      <w:marLeft w:val="0"/>
      <w:marRight w:val="0"/>
      <w:marTop w:val="0"/>
      <w:marBottom w:val="0"/>
      <w:divBdr>
        <w:top w:val="none" w:sz="0" w:space="0" w:color="auto"/>
        <w:left w:val="none" w:sz="0" w:space="0" w:color="auto"/>
        <w:bottom w:val="none" w:sz="0" w:space="0" w:color="auto"/>
        <w:right w:val="none" w:sz="0" w:space="0" w:color="auto"/>
      </w:divBdr>
    </w:div>
    <w:div w:id="1706909938">
      <w:bodyDiv w:val="1"/>
      <w:marLeft w:val="0"/>
      <w:marRight w:val="0"/>
      <w:marTop w:val="0"/>
      <w:marBottom w:val="0"/>
      <w:divBdr>
        <w:top w:val="none" w:sz="0" w:space="0" w:color="auto"/>
        <w:left w:val="none" w:sz="0" w:space="0" w:color="auto"/>
        <w:bottom w:val="none" w:sz="0" w:space="0" w:color="auto"/>
        <w:right w:val="none" w:sz="0" w:space="0" w:color="auto"/>
      </w:divBdr>
    </w:div>
    <w:div w:id="1742175105">
      <w:bodyDiv w:val="1"/>
      <w:marLeft w:val="0"/>
      <w:marRight w:val="0"/>
      <w:marTop w:val="0"/>
      <w:marBottom w:val="0"/>
      <w:divBdr>
        <w:top w:val="none" w:sz="0" w:space="0" w:color="auto"/>
        <w:left w:val="none" w:sz="0" w:space="0" w:color="auto"/>
        <w:bottom w:val="none" w:sz="0" w:space="0" w:color="auto"/>
        <w:right w:val="none" w:sz="0" w:space="0" w:color="auto"/>
      </w:divBdr>
    </w:div>
    <w:div w:id="1750350642">
      <w:bodyDiv w:val="1"/>
      <w:marLeft w:val="0"/>
      <w:marRight w:val="0"/>
      <w:marTop w:val="0"/>
      <w:marBottom w:val="0"/>
      <w:divBdr>
        <w:top w:val="none" w:sz="0" w:space="0" w:color="auto"/>
        <w:left w:val="none" w:sz="0" w:space="0" w:color="auto"/>
        <w:bottom w:val="none" w:sz="0" w:space="0" w:color="auto"/>
        <w:right w:val="none" w:sz="0" w:space="0" w:color="auto"/>
      </w:divBdr>
    </w:div>
    <w:div w:id="1856460189">
      <w:bodyDiv w:val="1"/>
      <w:marLeft w:val="0"/>
      <w:marRight w:val="0"/>
      <w:marTop w:val="0"/>
      <w:marBottom w:val="0"/>
      <w:divBdr>
        <w:top w:val="none" w:sz="0" w:space="0" w:color="auto"/>
        <w:left w:val="none" w:sz="0" w:space="0" w:color="auto"/>
        <w:bottom w:val="none" w:sz="0" w:space="0" w:color="auto"/>
        <w:right w:val="none" w:sz="0" w:space="0" w:color="auto"/>
      </w:divBdr>
    </w:div>
    <w:div w:id="1941640040">
      <w:bodyDiv w:val="1"/>
      <w:marLeft w:val="0"/>
      <w:marRight w:val="0"/>
      <w:marTop w:val="0"/>
      <w:marBottom w:val="0"/>
      <w:divBdr>
        <w:top w:val="none" w:sz="0" w:space="0" w:color="auto"/>
        <w:left w:val="none" w:sz="0" w:space="0" w:color="auto"/>
        <w:bottom w:val="none" w:sz="0" w:space="0" w:color="auto"/>
        <w:right w:val="none" w:sz="0" w:space="0" w:color="auto"/>
      </w:divBdr>
    </w:div>
    <w:div w:id="2023047645">
      <w:bodyDiv w:val="1"/>
      <w:marLeft w:val="0"/>
      <w:marRight w:val="0"/>
      <w:marTop w:val="0"/>
      <w:marBottom w:val="0"/>
      <w:divBdr>
        <w:top w:val="none" w:sz="0" w:space="0" w:color="auto"/>
        <w:left w:val="none" w:sz="0" w:space="0" w:color="auto"/>
        <w:bottom w:val="none" w:sz="0" w:space="0" w:color="auto"/>
        <w:right w:val="none" w:sz="0" w:space="0" w:color="auto"/>
      </w:divBdr>
    </w:div>
    <w:div w:id="20773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ga.avotina@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endeley.com/catalog/differences-pathological-gambling-prevalence-estimates-facts-art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C950-61E5-40A8-B2F8-0FD25AEBA687}">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A3FF6AB-B876-4C6D-AF20-2226650B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10485</Words>
  <Characters>5978</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Azartspēļu un izložu likumā” sākotnējās ietekmes novērtējuma ziņojums (anotācija)</vt:lpstr>
      <vt:lpstr>Likumprojekta „Grozījumi Publiskas personas mantas atsavināšanas likumā” sākotnējās ietekmes novērtējuma ziņojums (anotācija)</vt:lpstr>
    </vt:vector>
  </TitlesOfParts>
  <Company>Finanšu ministrija</Company>
  <LinksUpToDate>false</LinksUpToDate>
  <CharactersWithSpaces>16431</CharactersWithSpaces>
  <SharedDoc>false</SharedDoc>
  <HLinks>
    <vt:vector size="6" baseType="variant">
      <vt:variant>
        <vt:i4>22413386</vt:i4>
      </vt:variant>
      <vt:variant>
        <vt:i4>0</vt:i4>
      </vt:variant>
      <vt:variant>
        <vt:i4>0</vt:i4>
      </vt:variant>
      <vt:variant>
        <vt:i4>5</vt:i4>
      </vt:variant>
      <vt:variant>
        <vt:lpwstr>mailto:Inga.Avotiņa@fm.gov.lv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Azartspēļu un izložu likumā” sākotnējās ietekmes novērtējuma ziņojums (anotācija)</dc:title>
  <dc:subject>Anotācija</dc:subject>
  <dc:creator>I.Avotiņa</dc:creator>
  <dc:description>Inga.Avotina@fm.gov.lv_x000d_
67095515</dc:description>
  <cp:lastModifiedBy>Laimdota Adlere</cp:lastModifiedBy>
  <cp:revision>4</cp:revision>
  <cp:lastPrinted>2015-09-08T11:52:00Z</cp:lastPrinted>
  <dcterms:created xsi:type="dcterms:W3CDTF">2015-09-14T11:06:00Z</dcterms:created>
  <dcterms:modified xsi:type="dcterms:W3CDTF">2015-09-14T11:07:00Z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